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1.4.0 -->
  <w:body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jc w:val="center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pStyle w:val="BodyTextFirstIndent2"/>
        <w:rPr>
          <w:rFonts w:hint="eastAsia"/>
        </w:rPr>
      </w:pPr>
    </w:p>
    <w:p>
      <w:pPr>
        <w:ind w:firstLine="640"/>
        <w:jc w:val="center"/>
        <w:outlineLvl w:val="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  <w:lang w:eastAsia="zh-CN"/>
        </w:rPr>
      </w:pPr>
      <w:bookmarkStart w:id="0" w:name="_Toc22065"/>
      <w:bookmarkStart w:id="1" w:name="_Toc27519"/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</w:rPr>
        <w:t>湖北</w:t>
      </w:r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>信用</w:t>
      </w:r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</w:rPr>
        <w:t>住建平台</w:t>
      </w:r>
      <w:bookmarkEnd w:id="0"/>
      <w:bookmarkEnd w:id="1"/>
    </w:p>
    <w:p>
      <w:pPr>
        <w:ind w:firstLine="640"/>
        <w:jc w:val="center"/>
        <w:outlineLvl w:val="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</w:rPr>
      </w:pPr>
      <w:bookmarkStart w:id="2" w:name="_Toc26478"/>
      <w:bookmarkStart w:id="3" w:name="_Toc14979"/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</w:rPr>
        <w:t>操作手册v</w:t>
      </w:r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>3</w:t>
      </w:r>
      <w: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44"/>
          <w:szCs w:val="44"/>
        </w:rPr>
        <w:t>.0</w:t>
      </w:r>
      <w:bookmarkEnd w:id="2"/>
      <w:bookmarkEnd w:id="3"/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p>
      <w:pPr>
        <w:ind w:firstLine="640"/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Cs w:val="32"/>
        </w:rPr>
      </w:pPr>
    </w:p>
    <w:sdt>
      <w:sdtPr>
        <w:rPr>
          <w:rFonts w:ascii="宋体" w:eastAsia="宋体" w:hAnsi="宋体" w:cstheme="minorBidi"/>
          <w:kern w:val="2"/>
          <w:sz w:val="32"/>
          <w:szCs w:val="32"/>
          <w:lang w:val="en-US" w:eastAsia="zh-CN" w:bidi="ar-SA"/>
        </w:rPr>
        <w:id w:val="147460950"/>
        <w:docPartObj>
          <w:docPartGallery w:val="Table of Contents"/>
          <w:docPartUnique/>
        </w:docPartObj>
        <w15:color w:val="DBDBDB"/>
      </w:sdtPr>
      <w:sdtEndPr>
        <w:rPr>
          <w:rFonts w:ascii="黑体" w:eastAsia="黑体" w:hAnsi="黑体" w:cs="黑体" w:hint="eastAsia"/>
          <w:b/>
          <w:bCs/>
          <w:snapToGrid w:val="0"/>
          <w:color w:val="000000"/>
          <w:spacing w:val="-8"/>
          <w:kern w:val="0"/>
          <w:sz w:val="32"/>
          <w:szCs w:val="32"/>
          <w:lang w:val="en-US" w:eastAsia="zh-CN" w:bidi="ar-SA"/>
        </w:rPr>
      </w:sdtEndPr>
      <w:sdtContent>
        <w:p>
          <w:pPr>
            <w:keepNext w:val="0"/>
            <w:keepLines w:val="0"/>
            <w:pageBreakBefore w:val="0"/>
            <w:widowControl w:val="0"/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before="0" w:after="0" w:afterLines="0" w:line="240" w:lineRule="auto"/>
            <w:ind w:left="-320" w:right="0" w:firstLine="0" w:leftChars="-100" w:rightChars="0" w:firstLineChars="0"/>
            <w:jc w:val="center"/>
            <w:textAlignment w:val="auto"/>
          </w:pPr>
          <w:r>
            <w:rPr>
              <w:rFonts w:ascii="宋体" w:eastAsia="宋体" w:hAnsi="宋体"/>
              <w:sz w:val="32"/>
              <w:szCs w:val="32"/>
            </w:rPr>
            <w:t>目录</w:t>
          </w:r>
          <w:r>
            <w:rPr>
              <w:rFonts w:ascii="黑体" w:eastAsia="黑体" w:hAnsi="黑体" w:cs="黑体" w:hint="eastAsia"/>
              <w:b/>
              <w:bCs/>
              <w:snapToGrid w:val="0"/>
              <w:color w:val="000000"/>
              <w:spacing w:val="-8"/>
              <w:kern w:val="0"/>
              <w:szCs w:val="32"/>
            </w:rPr>
            <w:fldChar w:fldCharType="begin"/>
          </w:r>
          <w:r>
            <w:rPr>
              <w:rFonts w:ascii="黑体" w:eastAsia="黑体" w:hAnsi="黑体" w:cs="黑体" w:hint="eastAsia"/>
              <w:b/>
              <w:bCs/>
              <w:snapToGrid w:val="0"/>
              <w:color w:val="000000"/>
              <w:spacing w:val="-8"/>
              <w:kern w:val="0"/>
              <w:szCs w:val="32"/>
            </w:rPr>
            <w:instrText xml:space="preserve">TOC \o "1-2" \h \u </w:instrText>
          </w:r>
          <w:r>
            <w:rPr>
              <w:rFonts w:ascii="黑体" w:eastAsia="黑体" w:hAnsi="黑体" w:cs="黑体" w:hint="eastAsia"/>
              <w:b/>
              <w:bCs/>
              <w:snapToGrid w:val="0"/>
              <w:color w:val="000000"/>
              <w:spacing w:val="-8"/>
              <w:kern w:val="0"/>
              <w:szCs w:val="32"/>
            </w:rPr>
            <w:fldChar w:fldCharType="separate"/>
          </w:r>
        </w:p>
        <w:p>
          <w:pPr>
            <w:pStyle w:val="TOC1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leftChars="-100"/>
            <w:textAlignment w:val="auto"/>
          </w:pPr>
          <w:hyperlink w:anchor="_Toc24200" w:history="1">
            <w:r>
              <w:rPr>
                <w:rFonts w:hint="eastAsia"/>
              </w:rPr>
              <w:t xml:space="preserve">一、 </w:t>
            </w:r>
            <w:r>
              <w:rPr>
                <w:rFonts w:hint="eastAsia"/>
                <w:lang w:val="en-US" w:eastAsia="zh-CN"/>
              </w:rPr>
              <w:t>参评介绍</w:t>
            </w:r>
            <w:r>
              <w:tab/>
            </w:r>
            <w:r>
              <w:fldChar w:fldCharType="begin"/>
            </w:r>
            <w:r>
              <w:instrText xml:space="preserve"> PAGEREF _Toc24200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5239" w:history="1">
            <w:r>
              <w:rPr>
                <w:rFonts w:hint="eastAsia"/>
                <w:lang w:val="en-US" w:eastAsia="zh-CN"/>
              </w:rPr>
              <w:t>1.1、 主体范围</w:t>
            </w:r>
            <w:r>
              <w:tab/>
            </w:r>
            <w:r>
              <w:fldChar w:fldCharType="begin"/>
            </w:r>
            <w:r>
              <w:instrText xml:space="preserve"> PAGEREF _Toc5239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19747" w:history="1">
            <w:r>
              <w:rPr>
                <w:rFonts w:hint="eastAsia"/>
                <w:lang w:val="en-US" w:eastAsia="zh-CN"/>
              </w:rPr>
              <w:t>1.2、 信用主体申报重点说明</w:t>
            </w:r>
            <w:r>
              <w:tab/>
            </w:r>
            <w:r>
              <w:fldChar w:fldCharType="begin"/>
            </w:r>
            <w:r>
              <w:instrText xml:space="preserve"> PAGEREF _Toc19747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0262" w:history="1">
            <w:r>
              <w:rPr>
                <w:rFonts w:hint="eastAsia"/>
                <w:lang w:val="en-US" w:eastAsia="zh-CN"/>
              </w:rPr>
              <w:t>1.3、 信用申报及采集流程</w:t>
            </w:r>
            <w:r>
              <w:tab/>
            </w:r>
            <w:r>
              <w:fldChar w:fldCharType="begin"/>
            </w:r>
            <w:r>
              <w:instrText xml:space="preserve"> PAGEREF _Toc20262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1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leftChars="-100"/>
            <w:textAlignment w:val="auto"/>
          </w:pPr>
          <w:hyperlink w:anchor="_Toc21174" w:history="1">
            <w:r>
              <w:rPr>
                <w:rFonts w:hint="eastAsia"/>
              </w:rPr>
              <w:t xml:space="preserve">二、 </w:t>
            </w:r>
            <w:r>
              <w:rPr>
                <w:rFonts w:hint="eastAsia"/>
                <w:lang w:val="en-US" w:eastAsia="zh-CN"/>
              </w:rPr>
              <w:t>系统登录</w:t>
            </w:r>
            <w:r>
              <w:tab/>
            </w:r>
            <w:r>
              <w:fldChar w:fldCharType="begin"/>
            </w:r>
            <w:r>
              <w:instrText xml:space="preserve"> PAGEREF _Toc21174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16941" w:history="1">
            <w:r>
              <w:rPr>
                <w:rFonts w:hint="eastAsia"/>
              </w:rPr>
              <w:t xml:space="preserve">2.1、 </w:t>
            </w:r>
            <w:r>
              <w:rPr>
                <w:rFonts w:hint="eastAsia"/>
                <w:lang w:val="en-US" w:eastAsia="zh-CN"/>
              </w:rPr>
              <w:t>主页</w:t>
            </w:r>
            <w:r>
              <w:tab/>
            </w:r>
            <w:r>
              <w:fldChar w:fldCharType="begin"/>
            </w:r>
            <w:r>
              <w:instrText xml:space="preserve"> PAGEREF _Toc16941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136" w:history="1">
            <w:r>
              <w:rPr>
                <w:rFonts w:hint="eastAsia"/>
              </w:rPr>
              <w:t xml:space="preserve">2.2、 </w:t>
            </w:r>
            <w:r>
              <w:rPr>
                <w:rFonts w:hint="eastAsia"/>
                <w:lang w:val="en-US" w:eastAsia="zh-CN"/>
              </w:rPr>
              <w:t>参评主体登录</w:t>
            </w:r>
            <w:r>
              <w:tab/>
            </w:r>
            <w:r>
              <w:fldChar w:fldCharType="begin"/>
            </w:r>
            <w:r>
              <w:instrText xml:space="preserve"> PAGEREF _Toc136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8067" w:history="1">
            <w:r>
              <w:rPr>
                <w:rFonts w:hint="eastAsia"/>
                <w:lang w:val="en-US"/>
              </w:rPr>
              <w:t xml:space="preserve">2.3、 </w:t>
            </w:r>
            <w:r>
              <w:rPr>
                <w:rFonts w:hint="eastAsia"/>
                <w:lang w:val="en-US" w:eastAsia="zh-CN"/>
              </w:rPr>
              <w:t>管理端登录</w:t>
            </w:r>
            <w:r>
              <w:tab/>
            </w:r>
            <w:r>
              <w:fldChar w:fldCharType="begin"/>
            </w:r>
            <w:r>
              <w:instrText xml:space="preserve"> PAGEREF _Toc28067 \h </w:instrText>
            </w:r>
            <w:r>
              <w:fldChar w:fldCharType="separate"/>
            </w:r>
            <w:r>
              <w:t>7</w:t>
            </w:r>
            <w:r>
              <w:fldChar w:fldCharType="end"/>
            </w:r>
          </w:hyperlink>
        </w:p>
        <w:p>
          <w:pPr>
            <w:pStyle w:val="TOC1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leftChars="-100"/>
            <w:textAlignment w:val="auto"/>
          </w:pPr>
          <w:hyperlink w:anchor="_Toc634" w:history="1">
            <w:r>
              <w:rPr>
                <w:rFonts w:hint="eastAsia"/>
              </w:rPr>
              <w:t xml:space="preserve">三、 </w:t>
            </w:r>
            <w:r>
              <w:rPr>
                <w:rFonts w:hint="eastAsia"/>
                <w:lang w:val="en-US" w:eastAsia="zh-CN"/>
              </w:rPr>
              <w:t>企业端功能</w:t>
            </w:r>
            <w:r>
              <w:tab/>
            </w:r>
            <w:r>
              <w:fldChar w:fldCharType="begin"/>
            </w:r>
            <w:r>
              <w:instrText xml:space="preserve"> PAGEREF _Toc634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9039" w:history="1">
            <w:r>
              <w:rPr>
                <w:rFonts w:hint="eastAsia"/>
              </w:rPr>
              <w:t xml:space="preserve">3.1、 </w:t>
            </w:r>
            <w:r>
              <w:rPr>
                <w:rFonts w:hint="eastAsia"/>
                <w:lang w:val="en-US" w:eastAsia="zh-CN"/>
              </w:rPr>
              <w:t>企业类型</w:t>
            </w:r>
            <w:r>
              <w:tab/>
            </w:r>
            <w:r>
              <w:fldChar w:fldCharType="begin"/>
            </w:r>
            <w:r>
              <w:instrText xml:space="preserve"> PAGEREF _Toc29039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5717" w:history="1">
            <w:r>
              <w:rPr>
                <w:rFonts w:hint="eastAsia"/>
              </w:rPr>
              <w:t xml:space="preserve">3.2、 </w:t>
            </w:r>
            <w:r>
              <w:rPr>
                <w:rFonts w:hint="eastAsia"/>
                <w:lang w:val="en-US" w:eastAsia="zh-CN"/>
              </w:rPr>
              <w:t>首页</w:t>
            </w:r>
            <w:r>
              <w:tab/>
            </w:r>
            <w:r>
              <w:fldChar w:fldCharType="begin"/>
            </w:r>
            <w:r>
              <w:instrText xml:space="preserve"> PAGEREF _Toc5717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9154" w:history="1">
            <w:r>
              <w:rPr>
                <w:rFonts w:hint="eastAsia"/>
              </w:rPr>
              <w:t xml:space="preserve">3.3、 </w:t>
            </w:r>
            <w:r>
              <w:rPr>
                <w:rFonts w:hint="eastAsia"/>
                <w:lang w:val="en-US" w:eastAsia="zh-CN"/>
              </w:rPr>
              <w:t>企业参评</w:t>
            </w:r>
            <w:r>
              <w:tab/>
            </w:r>
            <w:r>
              <w:fldChar w:fldCharType="begin"/>
            </w:r>
            <w:r>
              <w:instrText xml:space="preserve"> PAGEREF _Toc9154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1199" w:history="1">
            <w:r>
              <w:rPr>
                <w:rFonts w:eastAsia="仿宋" w:hint="eastAsia"/>
                <w:lang w:val="en-US" w:eastAsia="zh-CN"/>
              </w:rPr>
              <w:t xml:space="preserve">3.4、 </w:t>
            </w:r>
            <w:r>
              <w:rPr>
                <w:rFonts w:hint="eastAsia"/>
                <w:lang w:val="en-US" w:eastAsia="zh-CN"/>
              </w:rPr>
              <w:t>信用评价</w:t>
            </w:r>
            <w:r>
              <w:tab/>
            </w:r>
            <w:r>
              <w:fldChar w:fldCharType="begin"/>
            </w:r>
            <w:r>
              <w:instrText xml:space="preserve"> PAGEREF _Toc21199 \h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7327" w:history="1">
            <w:r>
              <w:rPr>
                <w:rFonts w:hint="eastAsia"/>
              </w:rPr>
              <w:t xml:space="preserve">3.5、 </w:t>
            </w:r>
            <w:r>
              <w:rPr>
                <w:rFonts w:hint="eastAsia"/>
                <w:lang w:val="en-US" w:eastAsia="zh-CN"/>
              </w:rPr>
              <w:t>信用查询</w:t>
            </w:r>
            <w:r>
              <w:tab/>
            </w:r>
            <w:r>
              <w:fldChar w:fldCharType="begin"/>
            </w:r>
            <w:r>
              <w:instrText xml:space="preserve"> PAGEREF _Toc7327 \h </w:instrText>
            </w:r>
            <w:r>
              <w:fldChar w:fldCharType="separate"/>
            </w:r>
            <w:r>
              <w:t>11</w:t>
            </w:r>
            <w:r>
              <w:fldChar w:fldCharType="end"/>
            </w:r>
          </w:hyperlink>
        </w:p>
        <w:p>
          <w:pPr>
            <w:pStyle w:val="TOC1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leftChars="-100"/>
            <w:textAlignment w:val="auto"/>
          </w:pPr>
          <w:hyperlink w:anchor="_Toc25461" w:history="1">
            <w:r>
              <w:rPr>
                <w:rFonts w:hint="eastAsia"/>
              </w:rPr>
              <w:t xml:space="preserve">四、 </w:t>
            </w:r>
            <w:r>
              <w:rPr>
                <w:rFonts w:hint="eastAsia"/>
                <w:lang w:val="en-US" w:eastAsia="zh-CN"/>
              </w:rPr>
              <w:t>管理端功能</w:t>
            </w:r>
            <w:r>
              <w:tab/>
            </w:r>
            <w:r>
              <w:fldChar w:fldCharType="begin"/>
            </w:r>
            <w:r>
              <w:instrText xml:space="preserve"> PAGEREF _Toc25461 \h </w:instrText>
            </w:r>
            <w:r>
              <w:fldChar w:fldCharType="separate"/>
            </w:r>
            <w:r>
              <w:t>11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6257" w:history="1">
            <w:r>
              <w:rPr>
                <w:rFonts w:hint="eastAsia"/>
                <w:lang w:val="en-US" w:eastAsia="zh-CN"/>
              </w:rPr>
              <w:t>4.1、 核验、确认角色介绍</w:t>
            </w:r>
            <w:r>
              <w:tab/>
            </w:r>
            <w:r>
              <w:fldChar w:fldCharType="begin"/>
            </w:r>
            <w:r>
              <w:instrText xml:space="preserve"> PAGEREF _Toc26257 \h </w:instrText>
            </w:r>
            <w:r>
              <w:fldChar w:fldCharType="separate"/>
            </w:r>
            <w:r>
              <w:t>11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18709" w:history="1"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</w:rPr>
              <w:t xml:space="preserve">4.2、 </w:t>
            </w:r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  <w:lang w:val="en-US" w:eastAsia="zh-CN"/>
              </w:rPr>
              <w:t>信用采集</w:t>
            </w:r>
            <w:r>
              <w:tab/>
            </w:r>
            <w:r>
              <w:fldChar w:fldCharType="begin"/>
            </w:r>
            <w:r>
              <w:instrText xml:space="preserve"> PAGEREF _Toc18709 \h </w:instrText>
            </w:r>
            <w:r>
              <w:fldChar w:fldCharType="separate"/>
            </w:r>
            <w:r>
              <w:t>12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17901" w:history="1"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</w:rPr>
              <w:t xml:space="preserve">4.3、 </w:t>
            </w:r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  <w:lang w:val="en-US" w:eastAsia="zh-CN"/>
              </w:rPr>
              <w:t>信用审核</w:t>
            </w:r>
            <w:r>
              <w:tab/>
            </w:r>
            <w:r>
              <w:fldChar w:fldCharType="begin"/>
            </w:r>
            <w:r>
              <w:instrText xml:space="preserve"> PAGEREF _Toc17901 \h </w:instrText>
            </w:r>
            <w:r>
              <w:fldChar w:fldCharType="separate"/>
            </w:r>
            <w:r>
              <w:t>14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7242" w:history="1"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</w:rPr>
              <w:t xml:space="preserve">4.4、 </w:t>
            </w:r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  <w:lang w:val="en-US" w:eastAsia="zh-CN"/>
              </w:rPr>
              <w:t>信息查询</w:t>
            </w:r>
            <w:r>
              <w:tab/>
            </w:r>
            <w:r>
              <w:fldChar w:fldCharType="begin"/>
            </w:r>
            <w:r>
              <w:instrText xml:space="preserve"> PAGEREF _Toc27242 \h </w:instrText>
            </w:r>
            <w:r>
              <w:fldChar w:fldCharType="separate"/>
            </w:r>
            <w:r>
              <w:t>15</w:t>
            </w:r>
            <w:r>
              <w:fldChar w:fldCharType="end"/>
            </w:r>
          </w:hyperlink>
        </w:p>
        <w:p>
          <w:pPr>
            <w:pStyle w:val="TOC2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-320" w:firstLine="960" w:leftChars="-100" w:firstLineChars="300"/>
            <w:textAlignment w:val="auto"/>
          </w:pPr>
          <w:hyperlink w:anchor="_Toc21337" w:history="1"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</w:rPr>
              <w:t xml:space="preserve">4.5、 </w:t>
            </w:r>
            <w:r>
              <w:rPr>
                <w:rFonts w:ascii="仿宋" w:eastAsia="仿宋" w:hAnsi="仿宋" w:cs="仿宋" w:hint="eastAsia"/>
                <w:snapToGrid w:val="0"/>
                <w:kern w:val="0"/>
                <w:szCs w:val="31"/>
                <w:shd w:val="clear" w:color="auto" w:fill="auto"/>
                <w:lang w:val="en-US" w:eastAsia="zh-CN"/>
              </w:rPr>
              <w:t>信用统计</w:t>
            </w:r>
            <w:r>
              <w:tab/>
            </w:r>
            <w:r>
              <w:fldChar w:fldCharType="begin"/>
            </w:r>
            <w:r>
              <w:instrText xml:space="preserve"> PAGEREF _Toc21337 \h </w:instrText>
            </w:r>
            <w:r>
              <w:fldChar w:fldCharType="separate"/>
            </w:r>
            <w:r>
              <w:t>15</w:t>
            </w:r>
            <w:r>
              <w:fldChar w:fldCharType="end"/>
            </w:r>
          </w:hyperlink>
        </w:p>
        <w:p>
          <w:pPr>
            <w:keepNext w:val="0"/>
            <w:keepLines w:val="0"/>
            <w:pageBreakBefore w:val="0"/>
            <w:widowControl w:val="0"/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left="0" w:firstLine="0" w:leftChars="0" w:firstLineChars="0"/>
            <w:textAlignment w:val="auto"/>
            <w:rPr>
              <w:rFonts w:ascii="黑体" w:eastAsia="黑体" w:hAnsi="黑体" w:cs="黑体" w:hint="eastAsia"/>
              <w:b/>
              <w:bCs/>
              <w:snapToGrid w:val="0"/>
              <w:color w:val="000000"/>
              <w:spacing w:val="-8"/>
              <w:kern w:val="0"/>
              <w:szCs w:val="32"/>
            </w:rPr>
          </w:pPr>
          <w:r>
            <w:rPr>
              <w:rFonts w:ascii="黑体" w:eastAsia="黑体" w:hAnsi="黑体" w:cs="黑体" w:hint="eastAsia"/>
              <w:bCs/>
              <w:snapToGrid w:val="0"/>
              <w:color w:val="000000"/>
              <w:spacing w:val="-8"/>
              <w:kern w:val="0"/>
              <w:szCs w:val="32"/>
            </w:rPr>
            <w:fldChar w:fldCharType="end"/>
          </w:r>
        </w:p>
      </w:sdtContent>
    </w:sdt>
    <w:p>
      <w:pPr>
        <w:pStyle w:val="Heading1"/>
        <w:numPr>
          <w:ilvl w:val="0"/>
          <w:numId w:val="2"/>
        </w:numPr>
        <w:spacing w:before="312" w:after="312"/>
        <w:ind w:firstLineChars="0"/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4" w:name="_Toc24200"/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参评介绍</w:t>
      </w:r>
      <w:bookmarkEnd w:id="4"/>
    </w:p>
    <w:p>
      <w:pPr>
        <w:pStyle w:val="Heading2"/>
        <w:numPr>
          <w:ilvl w:val="1"/>
          <w:numId w:val="3"/>
        </w:numPr>
        <w:rPr>
          <w:rFonts w:hint="eastAsia"/>
          <w:lang w:val="en-US" w:eastAsia="zh-CN"/>
        </w:rPr>
      </w:pPr>
      <w:bookmarkStart w:id="5" w:name="_Toc5239"/>
      <w:r>
        <w:rPr>
          <w:rFonts w:hint="eastAsia"/>
          <w:lang w:val="en-US" w:eastAsia="zh-CN"/>
        </w:rPr>
        <w:t>主体范围</w:t>
      </w:r>
      <w:bookmarkEnd w:id="5"/>
    </w:p>
    <w:p>
      <w:pPr>
        <w:rPr>
          <w:rFonts w:eastAsia="仿宋" w:hint="default"/>
          <w:lang w:val="en-US" w:eastAsia="zh-CN"/>
        </w:rPr>
      </w:pPr>
      <w:r>
        <w:rPr>
          <w:rFonts w:hint="eastAsia"/>
          <w:lang w:val="en-US" w:eastAsia="zh-CN"/>
        </w:rPr>
        <w:t>信用评价参评主体范围分为企业、人员、机构。现以</w:t>
      </w:r>
      <w:r>
        <w:rPr>
          <w:rFonts w:hint="eastAsia"/>
          <w:b/>
          <w:bCs/>
          <w:color w:val="FF0000"/>
          <w:lang w:val="en-US" w:eastAsia="zh-CN"/>
        </w:rPr>
        <w:t>建筑市场</w:t>
      </w:r>
      <w:r>
        <w:rPr>
          <w:rFonts w:hint="eastAsia"/>
          <w:lang w:val="en-US" w:eastAsia="zh-CN"/>
        </w:rPr>
        <w:t>为例：</w:t>
      </w:r>
    </w:p>
    <w:p>
      <w:pPr>
        <w:pStyle w:val="BodyTextFirstIndent2"/>
        <w:numPr>
          <w:ilvl w:val="0"/>
          <w:numId w:val="4"/>
        </w:numPr>
        <w:spacing w:after="0" w:line="240" w:lineRule="auto"/>
        <w:ind w:left="0" w:firstLine="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b/>
          <w:bCs/>
          <w:kern w:val="2"/>
          <w:sz w:val="32"/>
          <w:szCs w:val="24"/>
          <w:lang w:val="en-US" w:eastAsia="zh-CN" w:bidi="ar-SA"/>
        </w:rPr>
        <w:t>企业</w:t>
      </w:r>
    </w:p>
    <w:p>
      <w:pPr>
        <w:pStyle w:val="BodyTextFirstIndent2"/>
        <w:numPr>
          <w:ilvl w:val="0"/>
          <w:numId w:val="4"/>
        </w:numPr>
        <w:spacing w:after="0" w:line="240" w:lineRule="auto"/>
        <w:ind w:left="0" w:firstLine="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ab/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建设单位、勘察单位、设计单位、施工单位、监理单位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、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预拌混凝土生产企业</w:t>
      </w:r>
    </w:p>
    <w:p>
      <w:pPr>
        <w:pStyle w:val="BodyTextFirstIndent2"/>
        <w:numPr>
          <w:ilvl w:val="0"/>
          <w:numId w:val="4"/>
        </w:numPr>
        <w:ind w:left="420" w:hanging="42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人员</w:t>
      </w:r>
    </w:p>
    <w:p>
      <w:pPr>
        <w:pStyle w:val="BodyTextFirstIndent2"/>
        <w:numPr>
          <w:ilvl w:val="0"/>
          <w:numId w:val="4"/>
        </w:numPr>
        <w:ind w:left="420" w:hanging="42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勘察单位从业人员、设计单位从业人员、施工从业人员、监理从业人员、预拌混凝土生产从业人员、施工图审查机构人员、检测(工程检测试验)从业人员、</w:t>
      </w:r>
    </w:p>
    <w:p>
      <w:pPr>
        <w:pStyle w:val="BodyTextFirstIndent2"/>
        <w:numPr>
          <w:ilvl w:val="0"/>
          <w:numId w:val="4"/>
        </w:numPr>
        <w:ind w:left="420" w:hanging="42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机构</w:t>
      </w:r>
    </w:p>
    <w:p>
      <w:pPr>
        <w:pStyle w:val="BodyTextFirstIndent2"/>
        <w:numPr>
          <w:ilvl w:val="0"/>
          <w:numId w:val="4"/>
        </w:numPr>
        <w:ind w:left="420" w:hanging="420" w:leftChars="0" w:firstLineChars="0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施工图审查机构、检测(工程检测试验)机构</w:t>
      </w:r>
    </w:p>
    <w:p>
      <w:pPr>
        <w:pStyle w:val="Heading2"/>
        <w:numPr>
          <w:ilvl w:val="1"/>
          <w:numId w:val="3"/>
        </w:numPr>
        <w:rPr>
          <w:rFonts w:hint="eastAsia"/>
          <w:lang w:val="en-US" w:eastAsia="zh-CN"/>
        </w:rPr>
      </w:pPr>
      <w:bookmarkStart w:id="6" w:name="_Toc19747"/>
      <w:r>
        <w:rPr>
          <w:rFonts w:hint="eastAsia"/>
          <w:lang w:val="en-US" w:eastAsia="zh-CN"/>
        </w:rPr>
        <w:t>信用主体申报重点说明</w:t>
      </w:r>
      <w:bookmarkEnd w:id="6"/>
    </w:p>
    <w:p>
      <w:pPr>
        <w:rPr>
          <w:rFonts w:hint="eastAsia"/>
          <w:b w:val="0"/>
          <w:bCs w:val="0"/>
          <w:color w:val="FF0000"/>
          <w:lang w:val="en-US" w:eastAsia="zh-CN"/>
        </w:rPr>
      </w:pPr>
      <w:r>
        <w:rPr>
          <w:rFonts w:hint="eastAsia"/>
          <w:b w:val="0"/>
          <w:bCs w:val="0"/>
          <w:color w:val="FF0000"/>
          <w:lang w:val="en-US" w:eastAsia="zh-CN"/>
        </w:rPr>
        <w:t>企业只能申报企业良好行为、不良申诉。</w:t>
      </w:r>
    </w:p>
    <w:p>
      <w:pPr>
        <w:pStyle w:val="BodyTextFirstIndent2"/>
        <w:rPr>
          <w:rFonts w:eastAsia="仿宋" w:cstheme="minorBidi" w:hint="eastAsia"/>
          <w:b w:val="0"/>
          <w:bCs w:val="0"/>
          <w:color w:val="FF0000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b w:val="0"/>
          <w:bCs w:val="0"/>
          <w:color w:val="FF0000"/>
          <w:kern w:val="2"/>
          <w:sz w:val="32"/>
          <w:szCs w:val="24"/>
          <w:lang w:val="en-US" w:eastAsia="zh-CN" w:bidi="ar-SA"/>
        </w:rPr>
        <w:t>人员</w:t>
      </w:r>
      <w:r>
        <w:rPr>
          <w:rFonts w:eastAsia="仿宋" w:cstheme="minorBidi" w:hint="eastAsia"/>
          <w:b w:val="0"/>
          <w:bCs w:val="0"/>
          <w:color w:val="FF0000"/>
          <w:kern w:val="2"/>
          <w:sz w:val="32"/>
          <w:szCs w:val="24"/>
          <w:lang w:val="en-US" w:eastAsia="zh-CN" w:bidi="ar-SA"/>
        </w:rPr>
        <w:t>只能由</w:t>
      </w:r>
      <w:r>
        <w:rPr>
          <w:rFonts w:eastAsia="仿宋" w:cstheme="minorBidi" w:hint="eastAsia"/>
          <w:b/>
          <w:bCs/>
          <w:color w:val="FF0000"/>
          <w:kern w:val="2"/>
          <w:sz w:val="32"/>
          <w:szCs w:val="24"/>
          <w:lang w:val="en-US" w:eastAsia="zh-CN" w:bidi="ar-SA"/>
        </w:rPr>
        <w:t>所在企业</w:t>
      </w:r>
      <w:r>
        <w:rPr>
          <w:rFonts w:eastAsia="仿宋" w:cstheme="minorBidi" w:hint="eastAsia"/>
          <w:b w:val="0"/>
          <w:bCs w:val="0"/>
          <w:color w:val="FF0000"/>
          <w:kern w:val="2"/>
          <w:sz w:val="32"/>
          <w:szCs w:val="24"/>
          <w:lang w:val="en-US" w:eastAsia="zh-CN" w:bidi="ar-SA"/>
        </w:rPr>
        <w:t>进行良好申报、不良申诉。</w:t>
      </w:r>
    </w:p>
    <w:p>
      <w:pPr>
        <w:pStyle w:val="Heading2"/>
        <w:numPr>
          <w:ilvl w:val="1"/>
          <w:numId w:val="3"/>
        </w:numPr>
        <w:rPr>
          <w:rFonts w:hint="eastAsia"/>
          <w:lang w:val="en-US" w:eastAsia="zh-CN"/>
        </w:rPr>
      </w:pPr>
      <w:bookmarkStart w:id="7" w:name="_Toc20262"/>
      <w:r>
        <w:rPr>
          <w:rFonts w:hint="eastAsia"/>
          <w:lang w:val="en-US" w:eastAsia="zh-CN"/>
        </w:rPr>
        <w:t>信用申报及采集流程</w:t>
      </w:r>
      <w:bookmarkEnd w:id="7"/>
    </w:p>
    <w:p>
      <w:pPr>
        <w:rPr>
          <w:rFonts w:hint="eastAsia"/>
          <w:color w:val="FF0000"/>
          <w:lang w:val="en-US" w:eastAsia="zh-CN"/>
        </w:rPr>
      </w:pPr>
      <w:r>
        <w:rPr>
          <w:rFonts w:hint="eastAsia"/>
          <w:color w:val="FF0000"/>
          <w:lang w:val="en-US" w:eastAsia="zh-CN"/>
        </w:rPr>
        <w:t>良好行为：由</w:t>
      </w:r>
      <w:r>
        <w:rPr>
          <w:rFonts w:hint="eastAsia"/>
          <w:b/>
          <w:bCs/>
          <w:color w:val="FF0000"/>
          <w:lang w:val="en-US" w:eastAsia="zh-CN"/>
        </w:rPr>
        <w:t>企业所在地主</w:t>
      </w:r>
      <w:r>
        <w:rPr>
          <w:rFonts w:hint="eastAsia"/>
          <w:color w:val="FF0000"/>
          <w:lang w:val="en-US" w:eastAsia="zh-CN"/>
        </w:rPr>
        <w:t>管部门进行确认。</w:t>
      </w:r>
    </w:p>
    <w:p>
      <w:pPr>
        <w:pStyle w:val="BodyTextFirstIndent2"/>
        <w:rPr>
          <w:rFonts w:hint="default"/>
          <w:color w:val="FF0000"/>
          <w:lang w:val="en-US" w:eastAsia="zh-CN"/>
        </w:rPr>
      </w:pPr>
      <w:r>
        <w:rPr>
          <w:rFonts w:hint="eastAsia"/>
          <w:color w:val="FF0000"/>
          <w:lang w:val="en-US" w:eastAsia="zh-CN"/>
        </w:rPr>
        <w:t xml:space="preserve">  </w:t>
      </w:r>
      <w:r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  <w:t>不良行为：由</w:t>
      </w:r>
      <w:r>
        <w:rPr>
          <w:rFonts w:ascii="Times New Roman" w:eastAsia="仿宋" w:hAnsi="Times New Roman" w:cstheme="minorBidi" w:hint="eastAsia"/>
          <w:b/>
          <w:bCs/>
          <w:color w:val="FF0000"/>
          <w:kern w:val="2"/>
          <w:sz w:val="32"/>
          <w:szCs w:val="24"/>
          <w:lang w:val="en-US" w:eastAsia="zh-CN" w:bidi="ar-SA"/>
        </w:rPr>
        <w:t>不良行为发生所在地</w:t>
      </w:r>
      <w:r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  <w:t>主管部门进行确认。</w:t>
      </w:r>
    </w:p>
    <w:p>
      <w:pPr>
        <w:pStyle w:val="Heading3"/>
        <w:numPr>
          <w:ilvl w:val="2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企业申报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企业良好行为：企业申报--&gt;企业所在地主管部门核验--&gt;企业所在地主管部门确认。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企业人员良好行为：企业申报--&gt;企业所在地主管部门核验--&gt;企业所在地主管部门确认。</w:t>
      </w:r>
    </w:p>
    <w:p>
      <w:pPr>
        <w:pStyle w:val="Heading3"/>
        <w:numPr>
          <w:ilvl w:val="2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主管部门采集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企业良好行为：主管部门采集--&gt;企业所在地主管部门确认。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企业不良行为：主管部门采集--&gt;不良行为发生所在地主管部门确认。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企业人员良好行为：主管部门采集--&gt;企业所在地主管部门确认。</w:t>
      </w:r>
    </w:p>
    <w:p>
      <w:pPr>
        <w:rPr>
          <w:rFonts w:eastAsia="仿宋" w:cstheme="minorBidi" w:hint="eastAsia"/>
          <w:b w:val="0"/>
          <w:bCs w:val="0"/>
          <w:color w:val="FF0000"/>
          <w:kern w:val="2"/>
          <w:sz w:val="32"/>
          <w:szCs w:val="24"/>
          <w:lang w:val="en-US" w:eastAsia="zh-CN" w:bidi="ar-SA"/>
        </w:rPr>
      </w:pPr>
      <w:r>
        <w:rPr>
          <w:rFonts w:hint="eastAsia"/>
          <w:lang w:val="en-US" w:eastAsia="zh-CN"/>
        </w:rPr>
        <w:t>企业人员不良行为：主管部门采集--&gt;不良行为发生所在地主管部门确认。</w:t>
      </w:r>
    </w:p>
    <w:p>
      <w:pPr>
        <w:pStyle w:val="Heading1"/>
        <w:numPr>
          <w:ilvl w:val="0"/>
          <w:numId w:val="3"/>
        </w:numPr>
        <w:spacing w:before="312" w:after="312"/>
        <w:ind w:firstLineChars="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湖北信住建主页</w:t>
      </w:r>
    </w:p>
    <w:p>
      <w:pPr>
        <w:pStyle w:val="NormalWeb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rPr>
          <w:rFonts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主页</w:t>
      </w:r>
      <w:r>
        <w:rPr>
          <w:rFonts w:cstheme="minorBidi" w:hint="eastAsia"/>
          <w:kern w:val="2"/>
          <w:sz w:val="32"/>
          <w:szCs w:val="24"/>
          <w:lang w:val="en-US" w:eastAsia="zh-CN" w:bidi="ar-SA"/>
        </w:rPr>
        <w:t>不仅是用来发布信用行为，也是企业端、管理端登录的入口，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地址为：</w:t>
      </w:r>
      <w:hyperlink r:id="rId4" w:history="1">
        <w:r>
          <w:rPr>
            <w:rStyle w:val="Hyperlink"/>
            <w:rFonts w:ascii="Calibri" w:hAnsi="Calibri" w:cs="Calibri" w:hint="default"/>
            <w:sz w:val="22"/>
            <w:szCs w:val="22"/>
            <w:lang w:eastAsia="zh-CN"/>
          </w:rPr>
          <w:t>https://zjxy.hbcic.net.cn/hbxypjqy/index</w:t>
        </w:r>
      </w:hyperlink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；</w:t>
      </w:r>
      <w:r>
        <w:rPr>
          <w:rFonts w:cstheme="minorBidi" w:hint="eastAsia"/>
          <w:kern w:val="2"/>
          <w:sz w:val="32"/>
          <w:szCs w:val="24"/>
          <w:lang w:val="en-US" w:eastAsia="zh-CN" w:bidi="ar-SA"/>
        </w:rPr>
        <w:t>也可从湖北政务服务网--特色专区--住建服务--信用平台主页进入，具体如下：</w:t>
      </w:r>
    </w:p>
    <w:p>
      <w:pPr>
        <w:pStyle w:val="NormalWeb"/>
        <w:keepNext w:val="0"/>
        <w:keepLines w:val="0"/>
        <w:widowControl/>
        <w:suppressLineNumbers w:val="0"/>
        <w:spacing w:before="0" w:beforeAutospacing="0" w:after="0" w:afterAutospacing="0"/>
        <w:ind w:left="0" w:right="0"/>
      </w:pPr>
      <w:r>
        <w:drawing>
          <wp:inline distT="0" distB="0" distL="114300" distR="114300">
            <wp:extent cx="5273040" cy="1915795"/>
            <wp:effectExtent l="0" t="0" r="0" b="444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91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1575435"/>
            <wp:effectExtent l="0" t="0" r="635" b="9525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7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NormalWeb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主页界面：</w:t>
      </w:r>
    </w:p>
    <w:p>
      <w:pPr>
        <w:pStyle w:val="NormalWeb"/>
        <w:keepNext w:val="0"/>
        <w:keepLines w:val="0"/>
        <w:widowControl/>
        <w:suppressLineNumbers w:val="0"/>
        <w:spacing w:before="0" w:beforeAutospacing="0" w:after="0" w:afterAutospacing="0"/>
        <w:ind w:right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8595" cy="2663190"/>
            <wp:effectExtent l="0" t="0" r="8255" b="3810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6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BodyTextFirstIndent2"/>
        <w:spacing w:after="0" w:line="240" w:lineRule="auto"/>
        <w:ind w:firstLine="0" w:firstLineChars="0"/>
        <w:rPr>
          <w:rFonts w:hint="default"/>
          <w:lang w:val="en-US" w:eastAsia="zh-CN"/>
        </w:rPr>
      </w:pPr>
    </w:p>
    <w:p>
      <w:pPr>
        <w:pStyle w:val="Heading1"/>
        <w:numPr>
          <w:ilvl w:val="0"/>
          <w:numId w:val="3"/>
        </w:numPr>
        <w:spacing w:before="312" w:after="312"/>
        <w:ind w:firstLineChars="0"/>
        <w:rPr>
          <w:b/>
          <w:bCs w:val="0"/>
          <w:color w:val="000000" w:themeColor="text1"/>
          <w14:textFill>
            <w14:solidFill>
              <w14:schemeClr w14:val="tx1"/>
            </w14:solidFill>
          </w14:textFill>
        </w:rPr>
      </w:pPr>
      <w:bookmarkStart w:id="8" w:name="_Toc634"/>
      <w:r>
        <w:rPr>
          <w:rFonts w:hint="eastAsia"/>
          <w:b/>
          <w:bCs w:val="0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企业端功能</w:t>
      </w:r>
      <w:bookmarkEnd w:id="8"/>
      <w:r>
        <w:rPr>
          <w:rFonts w:hint="eastAsia"/>
          <w:b/>
          <w:bCs w:val="0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【用户主体为企业】</w:t>
      </w:r>
    </w:p>
    <w:p>
      <w:pPr>
        <w:rPr>
          <w:rFonts w:hint="default"/>
          <w:b/>
          <w:bCs/>
          <w:color w:val="FF0000"/>
          <w:lang w:val="en-US"/>
        </w:rPr>
      </w:pPr>
      <w:r>
        <w:rPr>
          <w:rFonts w:hint="eastAsia"/>
          <w:b/>
          <w:bCs/>
          <w:color w:val="FF0000"/>
          <w:lang w:val="en-US" w:eastAsia="zh-CN"/>
        </w:rPr>
        <w:t>此部分为行业企业操作，请行业企业重点查看。</w:t>
      </w:r>
    </w:p>
    <w:p/>
    <w:p>
      <w:pPr>
        <w:pStyle w:val="Heading2"/>
        <w:numPr>
          <w:ilvl w:val="1"/>
          <w:numId w:val="3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登录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参评主体包</w:t>
      </w:r>
      <w:r>
        <w:rPr>
          <w:rFonts w:hint="eastAsia"/>
          <w:b/>
          <w:bCs/>
          <w:lang w:val="en-US" w:eastAsia="zh-CN"/>
        </w:rPr>
        <w:t>含企业和自然人</w:t>
      </w:r>
      <w:r>
        <w:rPr>
          <w:rFonts w:hint="eastAsia"/>
          <w:lang w:val="en-US" w:eastAsia="zh-CN"/>
        </w:rPr>
        <w:t>，点击登录后，会跳转到“湖北省统一身份认证平台”登录界面，企业请选择法人登录（</w:t>
      </w:r>
      <w:r>
        <w:rPr>
          <w:rFonts w:hint="eastAsia"/>
          <w:b/>
          <w:bCs/>
          <w:color w:val="FF0000"/>
          <w:lang w:val="en-US" w:eastAsia="zh-CN"/>
        </w:rPr>
        <w:t>若企业无账号，请点击注册，有关“湖北省统一身份认证平台”用户注册问题，请咨询湖北省大数据中心或12345</w:t>
      </w:r>
      <w:r>
        <w:rPr>
          <w:rFonts w:hint="eastAsia"/>
          <w:lang w:val="en-US" w:eastAsia="zh-CN"/>
        </w:rPr>
        <w:t>），输入账号和密码即可登录。</w:t>
      </w:r>
    </w:p>
    <w:p>
      <w:pPr>
        <w:pStyle w:val="BodyTextFirstIndent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b/>
          <w:bCs/>
          <w:kern w:val="2"/>
          <w:sz w:val="32"/>
          <w:szCs w:val="24"/>
          <w:lang w:val="en-US" w:eastAsia="zh-CN" w:bidi="ar-SA"/>
        </w:rPr>
        <w:t>注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：信用参评及评价功能，仅限</w:t>
      </w: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企业进行登录并办理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，自然人登录无法进行信用信息申报和不良申诉。</w:t>
      </w:r>
    </w:p>
    <w:p>
      <w:pPr>
        <w:pStyle w:val="BodyTextFirstIndent2"/>
        <w:rPr>
          <w:rFonts w:eastAsia="仿宋" w:cstheme="minorBidi" w:hint="default"/>
          <w:kern w:val="2"/>
          <w:sz w:val="32"/>
          <w:szCs w:val="24"/>
          <w:lang w:val="en-US" w:eastAsia="zh-CN" w:bidi="ar-SA"/>
        </w:rPr>
      </w:pPr>
    </w:p>
    <w:p>
      <w:pPr>
        <w:pStyle w:val="BodyTextFirstIndent2"/>
        <w:ind w:left="420" w:firstLine="420" w:leftChars="0" w:firstLineChars="0"/>
        <w:rPr>
          <w:rFonts w:hint="default"/>
          <w:lang w:val="en-US" w:eastAsia="zh-CN"/>
        </w:rPr>
      </w:pPr>
    </w:p>
    <w:p>
      <w:pPr>
        <w:pStyle w:val="BodyTextFirstIndent2"/>
        <w:ind w:left="0" w:firstLine="0" w:leftChars="0" w:firstLineChars="0"/>
        <w:jc w:val="center"/>
      </w:pPr>
      <w:r>
        <w:drawing>
          <wp:inline distT="0" distB="0" distL="114300" distR="114300">
            <wp:extent cx="5267960" cy="2711450"/>
            <wp:effectExtent l="0" t="0" r="8890" b="3175"/>
            <wp:docPr id="2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71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BodyTextFirstIndent2"/>
        <w:ind w:left="0" w:firstLine="0" w:leftChars="0" w:firstLineChars="0"/>
        <w:jc w:val="center"/>
      </w:pPr>
    </w:p>
    <w:p>
      <w:pPr>
        <w:pStyle w:val="BodyTextFirstIndent2"/>
        <w:ind w:left="0" w:firstLine="0" w:leftChars="0" w:firstLineChars="0"/>
        <w:rPr>
          <w:rFonts w:hint="default"/>
          <w:lang w:val="en-US"/>
        </w:rPr>
      </w:pPr>
      <w:r>
        <w:drawing>
          <wp:inline distT="0" distB="0" distL="114300" distR="114300">
            <wp:extent cx="5265420" cy="2418715"/>
            <wp:effectExtent l="0" t="0" r="1905" b="6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1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pStyle w:val="Heading2"/>
        <w:numPr>
          <w:ilvl w:val="1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业务操作流程</w:t>
      </w:r>
    </w:p>
    <w:p>
      <w:pPr>
        <w:rPr>
          <w:rFonts w:hint="eastAsia"/>
          <w:b/>
          <w:bCs w:val="0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 w:val="0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企业业务流程图如下：</w:t>
      </w:r>
    </w:p>
    <w:p>
      <w:pPr>
        <w:pStyle w:val="BodyTextFirstIndent2"/>
        <w:ind w:left="0" w:firstLine="0" w:leftChars="0" w:firstLineChars="0"/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266055" cy="2819400"/>
            <wp:effectExtent l="0" t="0" r="1270" b="0"/>
            <wp:docPr id="1" name="图片 1" descr="011fea44ced5c267e6c56a54a52d3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1fea44ced5c267e6c56a54a52d33f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</w:pPr>
      <w:bookmarkStart w:id="9" w:name="_Toc29039"/>
      <w:r>
        <w:rPr>
          <w:rFonts w:hint="eastAsia"/>
          <w:lang w:val="en-US" w:eastAsia="zh-CN"/>
        </w:rPr>
        <w:t>企业类型</w:t>
      </w:r>
      <w:bookmarkEnd w:id="9"/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企业类型初始化</w:t>
      </w:r>
    </w:p>
    <w:p>
      <w:pPr>
        <w:pStyle w:val="2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企业首次进入信用平台时，需选择企业业务经营的类型，可选择多个。</w:t>
      </w:r>
    </w:p>
    <w:p>
      <w:pPr>
        <w:pStyle w:val="2"/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注：类型初始化，只能操作一次。</w:t>
      </w:r>
    </w:p>
    <w:p>
      <w:pPr>
        <w:pStyle w:val="2"/>
        <w:ind w:left="0" w:firstLine="0" w:leftChars="0" w:firstLineChars="0"/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74310" cy="3983990"/>
            <wp:effectExtent l="0" t="0" r="2540" b="698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8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rPr>
          <w:rFonts w:eastAsia="仿宋" w:cstheme="minorBidi" w:hint="default"/>
          <w:b/>
          <w:bCs/>
          <w:kern w:val="2"/>
          <w:sz w:val="32"/>
          <w:szCs w:val="24"/>
          <w:lang w:val="en-US" w:eastAsia="zh-CN" w:bidi="ar-SA"/>
        </w:rPr>
      </w:pP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企业类型登录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hint="eastAsia"/>
          <w:lang w:val="en-US" w:eastAsia="zh-CN"/>
        </w:rPr>
        <w:t xml:space="preserve"> 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企业选择一个类型进行登录，进入平台后，可主动切换企业类型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，具体操作如下图：</w:t>
      </w:r>
    </w:p>
    <w:p>
      <w:pPr>
        <w:pStyle w:val="2"/>
        <w:spacing w:line="240" w:lineRule="auto"/>
        <w:ind w:left="0" w:firstLine="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2600325" cy="3315335"/>
            <wp:effectExtent l="0" t="0" r="0" b="889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331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620645" cy="3263265"/>
            <wp:effectExtent l="0" t="0" r="635" b="1333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20645" cy="326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</w:pPr>
      <w:bookmarkStart w:id="10" w:name="_Toc5717"/>
      <w:r>
        <w:rPr>
          <w:rFonts w:hint="eastAsia"/>
          <w:lang w:val="en-US" w:eastAsia="zh-CN"/>
        </w:rPr>
        <w:t>首页</w:t>
      </w:r>
      <w:bookmarkEnd w:id="10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展示企业的信用得分、待办、信用信息展示、通知公告。</w:t>
      </w:r>
    </w:p>
    <w:p>
      <w:pPr>
        <w:pStyle w:val="BodyTextFirstIndent2"/>
        <w:ind w:left="0" w:firstLine="0" w:leftChars="0" w:firstLineChars="0"/>
        <w:rPr>
          <w:rFonts w:hint="default"/>
          <w:lang w:val="en-US"/>
        </w:rPr>
      </w:pPr>
      <w:r>
        <w:drawing>
          <wp:inline distT="0" distB="0" distL="114300" distR="114300">
            <wp:extent cx="5267325" cy="2434590"/>
            <wp:effectExtent l="0" t="0" r="0" b="3810"/>
            <wp:docPr id="2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5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34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</w:pPr>
      <w:bookmarkStart w:id="11" w:name="_Toc9154"/>
      <w:r>
        <w:rPr>
          <w:rFonts w:hint="eastAsia"/>
          <w:lang w:val="en-US" w:eastAsia="zh-CN"/>
        </w:rPr>
        <w:t>企业参评</w:t>
      </w:r>
      <w:bookmarkEnd w:id="11"/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企业参评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参评需根据企业类型，完善企业基本信息（含基本信息、资质信息、人员及证书信息、项目信息，以上信息优先从“湖北省建筑市场监督与诚信一体化平台”带入，无法带入的只能自己手动录入），首次参评可获得初始分值100，且参评后才能进行信用申报、申诉。</w:t>
      </w:r>
    </w:p>
    <w:p>
      <w:pPr>
        <w:rPr>
          <w:rFonts w:hint="default"/>
          <w:color w:val="FF0000"/>
          <w:lang w:val="en-US" w:eastAsia="zh-CN"/>
        </w:rPr>
      </w:pPr>
      <w:r>
        <w:rPr>
          <w:rFonts w:hint="eastAsia"/>
          <w:color w:val="FF0000"/>
          <w:lang w:val="en-US" w:eastAsia="zh-CN"/>
        </w:rPr>
        <w:t>注：非建筑市场类行业，仅需录入企业基本信息即可参评。</w:t>
      </w:r>
    </w:p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参评具体界面如下：</w:t>
      </w:r>
    </w:p>
    <w:p>
      <w:pPr>
        <w:pStyle w:val="2"/>
        <w:ind w:left="0" w:firstLine="0" w:leftChars="0" w:firstLine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5271135" cy="2524125"/>
            <wp:effectExtent l="0" t="0" r="571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企业类型维护</w:t>
      </w:r>
    </w:p>
    <w:p>
      <w:pPr>
        <w:pStyle w:val="2"/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企业登录后，可单独维护企业类型信息，通过“企业参评--企业类型维护”进入，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企业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根据实际情况，勾选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相应类型，具体界面如下：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br/>
      </w:r>
      <w:r>
        <w:drawing>
          <wp:inline distT="0" distB="0" distL="114300" distR="114300">
            <wp:extent cx="5266055" cy="1437005"/>
            <wp:effectExtent l="0" t="0" r="1270" b="127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4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人员参评</w:t>
      </w:r>
    </w:p>
    <w:p>
      <w:pPr>
        <w:pStyle w:val="2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企业录入本企业人员，并点击参评。</w:t>
      </w:r>
    </w:p>
    <w:p>
      <w:pPr>
        <w:pStyle w:val="2"/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  <w:t>注：</w:t>
      </w:r>
      <w:r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  <w:t xml:space="preserve">1 </w:t>
      </w:r>
      <w:r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  <w:t>同一人员同一类型只能参评一次。</w:t>
      </w:r>
    </w:p>
    <w:p>
      <w:pPr>
        <w:pStyle w:val="2"/>
        <w:ind w:firstLine="1280" w:firstLineChars="400"/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  <w:t xml:space="preserve">2 </w:t>
      </w:r>
      <w:r>
        <w:rPr>
          <w:rFonts w:ascii="Times New Roman" w:eastAsia="仿宋" w:hAnsi="Times New Roman" w:cstheme="minorBidi" w:hint="eastAsia"/>
          <w:color w:val="FF0000"/>
          <w:kern w:val="2"/>
          <w:sz w:val="32"/>
          <w:szCs w:val="24"/>
          <w:lang w:val="en-US" w:eastAsia="zh-CN" w:bidi="ar-SA"/>
        </w:rPr>
        <w:t>人员库存在的人员不允许重复录入，只允许选择。</w:t>
      </w:r>
    </w:p>
    <w:p>
      <w:pPr>
        <w:pStyle w:val="2"/>
        <w:ind w:left="0" w:firstLine="0" w:leftChars="0" w:firstLineChars="0"/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  <w:t xml:space="preserve">        3 企业类型为建筑市场行业的，只允许获取“一体化平台的企业人员”；企业类型非建筑市场，允许手动录入。</w:t>
      </w:r>
    </w:p>
    <w:p>
      <w:pPr>
        <w:pStyle w:val="2"/>
        <w:ind w:left="0" w:firstLine="0" w:leftChars="0" w:firstLineChars="0"/>
        <w:rPr>
          <w:rFonts w:eastAsia="仿宋" w:cstheme="minorBidi" w:hint="default"/>
          <w:color w:val="FF0000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68595" cy="1898650"/>
            <wp:effectExtent l="0" t="0" r="8255" b="6350"/>
            <wp:docPr id="2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3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89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firstLine="0" w:leftChars="0" w:firstLineChars="0"/>
      </w:pPr>
      <w:r>
        <w:drawing>
          <wp:inline distT="0" distB="0" distL="114300" distR="114300">
            <wp:extent cx="5268595" cy="2011045"/>
            <wp:effectExtent l="0" t="0" r="8255" b="8255"/>
            <wp:docPr id="2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firstLine="0" w:leftChars="0" w:firstLineChars="0"/>
        <w:rPr>
          <w:rFonts w:hint="eastAsia"/>
          <w:lang w:val="en-US" w:eastAsia="zh-CN"/>
        </w:rPr>
      </w:pPr>
    </w:p>
    <w:p>
      <w:pPr>
        <w:pStyle w:val="BodyTextFirstIndent2"/>
        <w:ind w:left="0" w:firstLine="0" w:leftChars="0" w:firstLineChars="0"/>
        <w:rPr>
          <w:rFonts w:hint="default"/>
          <w:lang w:val="en-US" w:eastAsia="zh-CN"/>
        </w:rPr>
      </w:pPr>
    </w:p>
    <w:p>
      <w:pPr>
        <w:pStyle w:val="Heading2"/>
        <w:numPr>
          <w:ilvl w:val="1"/>
          <w:numId w:val="3"/>
        </w:numPr>
        <w:rPr>
          <w:rFonts w:eastAsia="仿宋" w:hint="eastAsia"/>
          <w:lang w:val="en-US" w:eastAsia="zh-CN"/>
        </w:rPr>
      </w:pPr>
      <w:bookmarkStart w:id="12" w:name="_Toc21199"/>
      <w:r>
        <w:rPr>
          <w:rFonts w:hint="eastAsia"/>
          <w:lang w:val="en-US" w:eastAsia="zh-CN"/>
        </w:rPr>
        <w:t>信用评价</w:t>
      </w:r>
      <w:bookmarkEnd w:id="12"/>
    </w:p>
    <w:p>
      <w:pPr>
        <w:pStyle w:val="Heading3"/>
        <w:numPr>
          <w:ilvl w:val="2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注意事项</w:t>
      </w:r>
    </w:p>
    <w:p>
      <w:pPr>
        <w:pStyle w:val="2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问题：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信用行为提交时，出现提示“没有传入后续步骤处理人，自动获取后续步骤预处理人为空！”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原因：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由于该信用行为未配置行业主管部门审核人导致的。需联系行业主管部门开通湖北信用住建相应权限。</w:t>
      </w:r>
    </w:p>
    <w:p>
      <w:pPr>
        <w:pStyle w:val="2"/>
        <w:rPr>
          <w:rFonts w:eastAsia="仿宋" w:cstheme="minorBidi" w:hint="default"/>
          <w:b/>
          <w:bCs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解决办法：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良好行为：联系企业所在地行业主管部门，需行业主管部门申请湖北信用住建用户及权限。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不良行为：联系不良行为发生所在行业地主管部门，需行业主管部门申请湖北信用住建用户及权限。</w:t>
      </w:r>
    </w:p>
    <w:p>
      <w:pPr>
        <w:pStyle w:val="2"/>
        <w:rPr>
          <w:rFonts w:eastAsia="仿宋" w:cstheme="minorBidi" w:hint="default"/>
          <w:kern w:val="2"/>
          <w:sz w:val="32"/>
          <w:szCs w:val="24"/>
          <w:lang w:val="en-US" w:eastAsia="zh-CN" w:bidi="ar-SA"/>
        </w:rPr>
      </w:pP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企业良好申报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列表中的“新增企业优良信用”，进入填报界面，点击“保存”后，还可修改；点击“提交”后，进入审核流程，不可修改。采集界面如下：</w:t>
      </w:r>
    </w:p>
    <w:p>
      <w:pPr>
        <w:pStyle w:val="2"/>
        <w:ind w:left="0" w:firstLine="0" w:leftChars="0" w:firstLineChars="0"/>
        <w:rPr>
          <w:rFonts w:eastAsia="仿宋" w:cstheme="minorBidi" w:hint="default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73675" cy="2880360"/>
            <wp:effectExtent l="0" t="0" r="14605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企业人员良好申报</w:t>
      </w:r>
    </w:p>
    <w:p>
      <w:pPr>
        <w:pStyle w:val="2"/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列表中的“新增企业人员优良信用”，进入填报界面，点击“保存”后，还可修改；点击“提交”后，进入审核流程，不可修改。</w:t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企业不良申诉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列表中的“新增申诉”，选择本企业有效期内的不良行为，点击“保存”后，还可修改；点击“提交”后，进入审核流程，不可修改。申诉申报界面如下：</w:t>
      </w:r>
    </w:p>
    <w:p>
      <w:pPr>
        <w:pStyle w:val="2"/>
        <w:ind w:left="0" w:firstLine="0" w:leftChars="0" w:firstLineChars="0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67960" cy="2348230"/>
            <wp:effectExtent l="0" t="0" r="5080" b="1397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34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企业人员不良申诉</w:t>
      </w:r>
    </w:p>
    <w:p>
      <w:pPr>
        <w:pStyle w:val="2"/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列表中的“新增申诉”，选择本企业下人员有效期内的不良行为，点击“保存”后，还可修改；点击“提交”后，进入审核流程，不可修改。申诉申报界面如下：</w:t>
      </w:r>
    </w:p>
    <w:p>
      <w:pPr>
        <w:pStyle w:val="Heading2"/>
        <w:numPr>
          <w:ilvl w:val="1"/>
          <w:numId w:val="3"/>
        </w:numPr>
      </w:pPr>
      <w:bookmarkStart w:id="13" w:name="_Toc7327"/>
      <w:r>
        <w:rPr>
          <w:rFonts w:hint="eastAsia"/>
          <w:lang w:val="en-US" w:eastAsia="zh-CN"/>
        </w:rPr>
        <w:t>信用查询</w:t>
      </w:r>
      <w:bookmarkEnd w:id="13"/>
    </w:p>
    <w:p>
      <w:r>
        <w:rPr>
          <w:rFonts w:hint="eastAsia"/>
          <w:lang w:val="en-US" w:eastAsia="zh-CN"/>
        </w:rPr>
        <w:t>可查询当前企业及企业下人员的不良、良好行为。</w:t>
      </w:r>
    </w:p>
    <w:p>
      <w:pPr>
        <w:pStyle w:val="Heading1"/>
        <w:numPr>
          <w:ilvl w:val="0"/>
          <w:numId w:val="3"/>
        </w:numPr>
        <w:spacing w:before="312" w:after="312"/>
        <w:ind w:firstLineChars="0"/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14" w:name="_Toc25461"/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管理端功能</w:t>
      </w:r>
      <w:bookmarkEnd w:id="14"/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【用户主体为行业主管部门】</w:t>
      </w:r>
    </w:p>
    <w:p>
      <w:pPr>
        <w:rPr>
          <w:rFonts w:hint="default"/>
          <w:b/>
          <w:bCs/>
          <w:color w:val="FF0000"/>
          <w:lang w:val="en-US"/>
        </w:rPr>
      </w:pPr>
      <w:r>
        <w:rPr>
          <w:rFonts w:hint="eastAsia"/>
          <w:b/>
          <w:bCs/>
          <w:color w:val="FF0000"/>
          <w:lang w:val="en-US" w:eastAsia="zh-CN"/>
        </w:rPr>
        <w:t>此部分为行业主管部门操作，企业无需关注。</w:t>
      </w:r>
    </w:p>
    <w:p>
      <w:pPr>
        <w:pStyle w:val="Heading2"/>
        <w:numPr>
          <w:ilvl w:val="1"/>
          <w:numId w:val="3"/>
        </w:numPr>
        <w:rPr>
          <w:rFonts w:hint="default"/>
          <w:b/>
          <w:bCs w:val="0"/>
          <w:lang w:val="en-US" w:eastAsia="zh-CN"/>
        </w:rPr>
      </w:pPr>
      <w:r>
        <w:rPr>
          <w:rFonts w:hint="eastAsia"/>
          <w:b/>
          <w:bCs w:val="0"/>
          <w:lang w:val="en-US" w:eastAsia="zh-CN"/>
        </w:rPr>
        <w:t>登录及注册</w:t>
      </w:r>
    </w:p>
    <w:p>
      <w:pPr>
        <w:ind w:firstLine="64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管理端已接入湖北省数字住建政务综合管理平台（以下简称“综管平台”）。</w:t>
      </w:r>
    </w:p>
    <w:p>
      <w:pPr>
        <w:pStyle w:val="Heading3"/>
        <w:numPr>
          <w:ilvl w:val="2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登录</w:t>
      </w:r>
    </w:p>
    <w:p>
      <w:pPr>
        <w:ind w:firstLine="640"/>
        <w:rPr>
          <w:rFonts w:hint="eastAsia"/>
        </w:rPr>
      </w:pPr>
      <w:r>
        <w:rPr>
          <w:rFonts w:hint="eastAsia"/>
          <w:lang w:val="en-US" w:eastAsia="zh-CN"/>
        </w:rPr>
        <w:t>在浏览器中输入网址：</w:t>
      </w:r>
      <w:r>
        <w:rPr>
          <w:rFonts w:hint="eastAsia"/>
          <w:color w:val="auto"/>
          <w:u w:val="none"/>
          <w:lang w:val="en-US" w:eastAsia="zh-CN"/>
        </w:rPr>
        <w:t>https://zwgl.hbcic.net.cn/web-gl/szjs/login/login</w:t>
      </w:r>
      <w:r>
        <w:rPr>
          <w:rFonts w:hint="eastAsia"/>
          <w:color w:val="auto"/>
          <w:u w:val="none"/>
        </w:rPr>
        <w:t>，登录成功后跳转到</w:t>
      </w:r>
      <w:r>
        <w:rPr>
          <w:rFonts w:hint="eastAsia"/>
          <w:color w:val="auto"/>
          <w:u w:val="none"/>
          <w:lang w:val="en-US" w:eastAsia="zh-CN"/>
        </w:rPr>
        <w:t>湖北省住建领域信用信息平台</w:t>
      </w:r>
      <w:r>
        <w:rPr>
          <w:rFonts w:hint="eastAsia"/>
          <w:color w:val="auto"/>
          <w:u w:val="none"/>
        </w:rPr>
        <w:t>。</w:t>
      </w:r>
    </w:p>
    <w:p>
      <w:pPr>
        <w:pStyle w:val="BodyTextFirstIndent2"/>
        <w:spacing w:after="0" w:line="240" w:lineRule="auto"/>
        <w:ind w:firstLine="0" w:firstLineChars="0"/>
      </w:pPr>
      <w:r>
        <w:drawing>
          <wp:inline distT="0" distB="0" distL="114300" distR="114300">
            <wp:extent cx="5271135" cy="2931160"/>
            <wp:effectExtent l="0" t="0" r="5715" b="254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3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注册</w:t>
      </w:r>
    </w:p>
    <w:p>
      <w:pPr>
        <w:pStyle w:val="2"/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点击用户注册，进入到注册界面，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录入信息（</w:t>
      </w:r>
      <w:r>
        <w:rPr>
          <w:rFonts w:eastAsia="仿宋" w:cstheme="minorBidi" w:hint="eastAsia"/>
          <w:color w:val="FF0000"/>
          <w:kern w:val="2"/>
          <w:sz w:val="32"/>
          <w:szCs w:val="24"/>
          <w:lang w:val="en-US" w:eastAsia="zh-CN" w:bidi="ar-SA"/>
        </w:rPr>
        <w:t>上级单位和部门先选，若选不到，则勾选“是否新增”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）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按照表单要求进行填写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，并上传“</w:t>
      </w: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湖北信用住建用户申请表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”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。备注栏需备注：开通全厅信用平台访问权限。</w:t>
      </w:r>
    </w:p>
    <w:p>
      <w:pPr>
        <w:pStyle w:val="2"/>
        <w:ind w:left="0" w:firstLine="0" w:leftChars="0" w:firstLineChars="0"/>
      </w:pPr>
      <w:r>
        <w:drawing>
          <wp:inline distT="0" distB="0" distL="114300" distR="114300">
            <wp:extent cx="5274310" cy="1898650"/>
            <wp:effectExtent l="0" t="0" r="2540" b="635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9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ind w:left="0" w:firstLine="0" w:leftChars="0" w:firstLine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8595" cy="5351145"/>
            <wp:effectExtent l="0" t="0" r="8255" b="1905"/>
            <wp:docPr id="2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3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35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 w:eastAsia="zh-CN"/>
        </w:rPr>
      </w:pPr>
    </w:p>
    <w:p>
      <w:pPr>
        <w:pStyle w:val="Heading2"/>
        <w:numPr>
          <w:ilvl w:val="1"/>
          <w:numId w:val="3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业务操作流程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管理端业务操作流程图如下：</w:t>
      </w:r>
    </w:p>
    <w:p>
      <w:pPr>
        <w:pStyle w:val="BodyTextFirstIndent2"/>
        <w:ind w:left="0" w:firstLine="0" w:leftChars="0" w:firstLineChars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055" cy="4204970"/>
            <wp:effectExtent l="0" t="0" r="1270" b="5080"/>
            <wp:docPr id="5" name="图片 5" descr="729b8af398c4f7d3cd7fc5a106a95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29b8af398c4f7d3cd7fc5a106a9579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20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hint="eastAsia"/>
          <w:lang w:val="en-US" w:eastAsia="zh-CN"/>
        </w:rPr>
      </w:pPr>
      <w:bookmarkStart w:id="15" w:name="_Toc26257"/>
      <w:r>
        <w:rPr>
          <w:rFonts w:hint="eastAsia"/>
          <w:lang w:val="en-US" w:eastAsia="zh-CN"/>
        </w:rPr>
        <w:t>核验、确认角色介绍</w:t>
      </w:r>
      <w:bookmarkEnd w:id="15"/>
    </w:p>
    <w:p>
      <w:pPr>
        <w:pStyle w:val="BodyTextFirstIndent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管理端核验、确认需按照类型来分配权限，且核验、确认不能为同一人。</w:t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bookmarkStart w:id="16" w:name="_Toc18709"/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信用采集</w:t>
      </w:r>
      <w:bookmarkEnd w:id="16"/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企业良好信用采集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列表中的“新增企业优良信用”，进入填报界面，点击“保存”后，还可修改；点击“提交”后，进入审核流程，不可修改。采集界面如下：</w:t>
      </w:r>
    </w:p>
    <w:p>
      <w:pPr>
        <w:pStyle w:val="2"/>
        <w:ind w:left="0" w:firstLine="0" w:leftChars="0" w:firstLineChars="0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70500" cy="2747010"/>
            <wp:effectExtent l="0" t="0" r="2540" b="1143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4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ind w:left="0" w:firstLine="0" w:leftChars="0" w:firstLineChars="0"/>
      </w:pP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企业不良信用采集</w:t>
      </w:r>
    </w:p>
    <w:p>
      <w:pPr>
        <w:pStyle w:val="2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列表中的“新增企业不良信用”，进入填报界面，点击“保存”后，还可修改；点击“提交”后，进入审核流程，不可修改。采集界面如下：</w:t>
      </w:r>
    </w:p>
    <w:p>
      <w:pPr>
        <w:pStyle w:val="2"/>
        <w:ind w:left="0" w:firstLine="0" w:leftChars="0" w:firstLineChars="0"/>
      </w:pPr>
      <w:r>
        <w:drawing>
          <wp:inline distT="0" distB="0" distL="114300" distR="114300">
            <wp:extent cx="5268595" cy="2491740"/>
            <wp:effectExtent l="0" t="0" r="4445" b="762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9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人员良好信用采集</w:t>
      </w:r>
    </w:p>
    <w:p>
      <w:pPr>
        <w:pStyle w:val="2"/>
        <w:ind w:left="0" w:firstLine="420" w:leftChars="0" w:firstLineChars="0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列表中的“新增人员良好信用”，进入填报界面，点击“保存”后，还可修改；点击“提交”后，进入审核流程，不可修改。采集界面如下：</w:t>
      </w:r>
    </w:p>
    <w:p>
      <w:pPr>
        <w:pStyle w:val="2"/>
        <w:ind w:left="0" w:firstLine="0" w:leftChars="0" w:firstLineChars="0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drawing>
          <wp:inline distT="0" distB="0" distL="114300" distR="114300">
            <wp:extent cx="5266055" cy="2309495"/>
            <wp:effectExtent l="0" t="0" r="6985" b="698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0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人员不良信用采集</w:t>
      </w:r>
    </w:p>
    <w:p>
      <w:pPr>
        <w:pStyle w:val="2"/>
        <w:ind w:left="0" w:firstLine="420" w:leftChars="0" w:firstLineChars="0"/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点击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列表中的“新增人员不良信用”，进入填报界面，点击“保存”后，还可修改；点击“提交”后，进入审核流程，不可修改。采集界面如下：</w:t>
      </w:r>
    </w:p>
    <w:p>
      <w:pPr>
        <w:pStyle w:val="2"/>
        <w:ind w:left="0" w:firstLine="0" w:leftChars="0" w:firstLineChars="0"/>
      </w:pPr>
      <w:r>
        <w:drawing>
          <wp:inline distT="0" distB="0" distL="114300" distR="114300">
            <wp:extent cx="5266055" cy="2309495"/>
            <wp:effectExtent l="0" t="0" r="6985" b="698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0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bookmarkStart w:id="17" w:name="_Toc17901"/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信用审核</w:t>
      </w:r>
      <w:bookmarkEnd w:id="17"/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管理端采集审核</w:t>
      </w:r>
    </w:p>
    <w:p>
      <w:pPr>
        <w:pStyle w:val="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用于审核管理端采集的良好、不良行为。</w:t>
      </w:r>
    </w:p>
    <w:p>
      <w:pPr>
        <w:pStyle w:val="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流程：采集--&gt;确认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。</w:t>
      </w:r>
    </w:p>
    <w:p>
      <w:pPr>
        <w:pStyle w:val="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切换到待审核列表，点击操作栏图表，进入审核界面，点击“通过”，即可办结；点击“退回”，可退回到申报人。</w:t>
      </w:r>
    </w:p>
    <w:p>
      <w:pPr>
        <w:pStyle w:val="2"/>
        <w:spacing w:line="240" w:lineRule="auto"/>
        <w:ind w:firstLine="0" w:firstLine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1706880"/>
            <wp:effectExtent l="0" t="0" r="8255" b="0"/>
            <wp:docPr id="1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主体申报审核</w:t>
      </w:r>
    </w:p>
    <w:p>
      <w:pPr>
        <w:pStyle w:val="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用于审核企业端申报的良好、不良行为。</w:t>
      </w:r>
    </w:p>
    <w:p>
      <w:pPr>
        <w:pStyle w:val="2"/>
        <w:ind w:left="0" w:firstLine="420" w:leftChars="0" w:firstLineChars="0"/>
        <w:rPr>
          <w:b/>
          <w:bCs/>
        </w:rPr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流程：企业端申报--&gt;核验--&gt;确认。</w:t>
      </w:r>
    </w:p>
    <w:p>
      <w:pPr>
        <w:pStyle w:val="2"/>
        <w:ind w:left="0" w:firstLine="420" w:leftChars="0" w:firstLineChars="0"/>
        <w:rPr>
          <w:rFonts w:ascii="Times New Roman" w:eastAsia="仿宋" w:hAnsi="Times New Roman" w:cstheme="minorBidi" w:hint="default"/>
          <w:kern w:val="2"/>
          <w:sz w:val="32"/>
          <w:szCs w:val="24"/>
          <w:lang w:val="en-US" w:eastAsia="zh-CN" w:bidi="ar-SA"/>
        </w:rPr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切换到待审核列表，点击操作栏图表，进入审核界面，点击“通过”，即可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进入下一步处理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；点击“退回”，可退回到申报人。</w:t>
      </w:r>
    </w:p>
    <w:p>
      <w:pPr>
        <w:pStyle w:val="2"/>
      </w:pPr>
      <w:r>
        <w:drawing>
          <wp:inline distT="0" distB="0" distL="114300" distR="114300">
            <wp:extent cx="5264785" cy="1706880"/>
            <wp:effectExtent l="0" t="0" r="8255" b="0"/>
            <wp:docPr id="20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3"/>
        <w:numPr>
          <w:ilvl w:val="2"/>
          <w:numId w:val="3"/>
        </w:numPr>
      </w:pPr>
      <w:r>
        <w:rPr>
          <w:rFonts w:hint="eastAsia"/>
          <w:lang w:val="en-US" w:eastAsia="zh-CN"/>
        </w:rPr>
        <w:t>申诉审核</w:t>
      </w:r>
    </w:p>
    <w:p>
      <w:pPr>
        <w:pStyle w:val="2"/>
        <w:ind w:left="0" w:firstLine="420" w:leftChars="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用于审核企业端申报不良行为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申诉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。</w:t>
      </w:r>
    </w:p>
    <w:p>
      <w:pPr>
        <w:pStyle w:val="2"/>
      </w:pPr>
      <w:r>
        <w:rPr>
          <w:rFonts w:eastAsia="仿宋" w:cstheme="minorBidi" w:hint="eastAsia"/>
          <w:b/>
          <w:bCs/>
          <w:kern w:val="2"/>
          <w:sz w:val="32"/>
          <w:szCs w:val="24"/>
          <w:lang w:val="en-US" w:eastAsia="zh-CN" w:bidi="ar-SA"/>
        </w:rPr>
        <w:t>流程：企业端申报--&gt;核验--&gt;确认。</w:t>
      </w:r>
    </w:p>
    <w:p>
      <w:pPr>
        <w:pStyle w:val="2"/>
      </w:pP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切换到待审核列表，点击操作栏图表，进入审核界面，点击“通过”，即可</w:t>
      </w:r>
      <w:r>
        <w:rPr>
          <w:rFonts w:eastAsia="仿宋" w:cstheme="minorBidi" w:hint="eastAsia"/>
          <w:kern w:val="2"/>
          <w:sz w:val="32"/>
          <w:szCs w:val="24"/>
          <w:lang w:val="en-US" w:eastAsia="zh-CN" w:bidi="ar-SA"/>
        </w:rPr>
        <w:t>进入下一步处理</w:t>
      </w:r>
      <w:r>
        <w:rPr>
          <w:rFonts w:ascii="Times New Roman" w:eastAsia="仿宋" w:hAnsi="Times New Roman" w:cstheme="minorBidi" w:hint="eastAsia"/>
          <w:kern w:val="2"/>
          <w:sz w:val="32"/>
          <w:szCs w:val="24"/>
          <w:lang w:val="en-US" w:eastAsia="zh-CN" w:bidi="ar-SA"/>
        </w:rPr>
        <w:t>；点击“退回”，可退回到申报人。</w:t>
      </w:r>
    </w:p>
    <w:p>
      <w:pPr>
        <w:pStyle w:val="2"/>
      </w:pPr>
      <w:r>
        <w:drawing>
          <wp:inline distT="0" distB="0" distL="114300" distR="114300">
            <wp:extent cx="5264785" cy="1706880"/>
            <wp:effectExtent l="0" t="0" r="8255" b="0"/>
            <wp:docPr id="2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企业库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主管部门用户，可录入本辖区内企业并参评，也可取消已参评的企业。</w:t>
      </w:r>
    </w:p>
    <w:p>
      <w:pPr>
        <w:pStyle w:val="BodyTextFirstIndent2"/>
        <w:ind w:left="0" w:firstLine="0" w:leftChars="0" w:firstLine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73040" cy="1760855"/>
            <wp:effectExtent l="0" t="0" r="3810" b="1270"/>
            <wp:docPr id="2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5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人员库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主管部门用户，可录入各行业人员信息并参评。</w:t>
      </w:r>
    </w:p>
    <w:p>
      <w:pPr>
        <w:pStyle w:val="BodyTextFirstIndent2"/>
        <w:ind w:left="0" w:firstLine="0" w:leftChars="0" w:firstLineChars="0"/>
        <w:rPr>
          <w:rFonts w:hint="default"/>
          <w:lang w:val="en-US"/>
        </w:rPr>
      </w:pPr>
      <w:r>
        <w:drawing>
          <wp:inline distT="0" distB="0" distL="114300" distR="114300">
            <wp:extent cx="5273040" cy="1557655"/>
            <wp:effectExtent l="0" t="0" r="3810" b="4445"/>
            <wp:docPr id="2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6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55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项目库</w:t>
      </w:r>
    </w:p>
    <w:p>
      <w:pPr>
        <w:ind w:left="0" w:firstLine="420" w:leftChars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主管部门用户，可录入辖区内项目信息并确认，确认过的项目信息才能在行为录入中被选择。</w:t>
      </w:r>
    </w:p>
    <w:p>
      <w:pPr>
        <w:pStyle w:val="BodyTextFirstIndent2"/>
        <w:rPr>
          <w:rFonts w:hint="eastAsia"/>
          <w:color w:val="FF0000"/>
          <w:lang w:val="en-US" w:eastAsia="zh-CN"/>
        </w:rPr>
      </w:pPr>
      <w:r>
        <w:rPr>
          <w:rFonts w:hint="eastAsia"/>
          <w:color w:val="FF0000"/>
          <w:lang w:val="en-US" w:eastAsia="zh-CN"/>
        </w:rPr>
        <w:t>注：省一体化平台的项目信息会自动对接到信用平台项目库。</w:t>
      </w:r>
    </w:p>
    <w:p>
      <w:pPr>
        <w:pStyle w:val="BodyTextFirstIndent2"/>
        <w:ind w:left="0" w:firstLine="0" w:leftChars="0" w:firstLineChars="0"/>
        <w:rPr>
          <w:rFonts w:hint="default"/>
          <w:color w:val="FF0000"/>
          <w:lang w:val="en-US" w:eastAsia="zh-CN"/>
        </w:rPr>
      </w:pPr>
      <w:r>
        <w:drawing>
          <wp:inline distT="0" distB="0" distL="114300" distR="114300">
            <wp:extent cx="5271770" cy="1439545"/>
            <wp:effectExtent l="0" t="0" r="5080" b="8255"/>
            <wp:docPr id="3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7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43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BodyTextFirstIndent2"/>
        <w:ind w:left="0" w:firstLine="0" w:leftChars="0" w:firstLineChars="0"/>
        <w:rPr>
          <w:rFonts w:hint="eastAsia"/>
          <w:lang w:val="en-US" w:eastAsia="zh-CN"/>
        </w:rPr>
      </w:pPr>
    </w:p>
    <w:p>
      <w:pPr>
        <w:pStyle w:val="2"/>
        <w:ind w:left="0" w:firstLine="0" w:leftChars="0" w:firstLineChars="0"/>
      </w:pP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bookmarkStart w:id="18" w:name="_Toc27242"/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信息查询</w:t>
      </w:r>
      <w:bookmarkEnd w:id="18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可对辖区内的企业及人员信用行为按照辖区、行业类别等进行查询。</w:t>
      </w:r>
    </w:p>
    <w:p>
      <w:pPr>
        <w:pStyle w:val="BodyTextFirstIndent2"/>
        <w:ind w:left="0" w:firstLine="0" w:leftChars="0" w:firstLine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6055" cy="1526540"/>
            <wp:effectExtent l="0" t="0" r="1270" b="6985"/>
            <wp:docPr id="3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8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Heading2"/>
        <w:numPr>
          <w:ilvl w:val="1"/>
          <w:numId w:val="3"/>
        </w:numPr>
        <w:rPr>
          <w:rFonts w:ascii="仿宋" w:eastAsia="仿宋" w:hAnsi="仿宋" w:cs="仿宋"/>
          <w:snapToGrid w:val="0"/>
          <w:color w:val="auto"/>
          <w:kern w:val="0"/>
          <w:sz w:val="31"/>
          <w:szCs w:val="31"/>
          <w:shd w:val="clear" w:color="auto" w:fill="auto"/>
        </w:rPr>
      </w:pPr>
      <w:bookmarkStart w:id="19" w:name="_Toc21337"/>
      <w:r>
        <w:rPr>
          <w:rFonts w:ascii="仿宋" w:eastAsia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信用统计</w:t>
      </w:r>
      <w:bookmarkEnd w:id="19"/>
    </w:p>
    <w:p>
      <w:pPr>
        <w:rPr>
          <w:rFonts w:ascii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</w:pPr>
      <w:r>
        <w:rPr>
          <w:rFonts w:ascii="仿宋" w:hAnsi="仿宋" w:cs="仿宋" w:hint="eastAsia"/>
          <w:snapToGrid w:val="0"/>
          <w:color w:val="auto"/>
          <w:kern w:val="0"/>
          <w:sz w:val="31"/>
          <w:szCs w:val="31"/>
          <w:shd w:val="clear" w:color="auto" w:fill="auto"/>
          <w:lang w:val="en-US" w:eastAsia="zh-CN"/>
        </w:rPr>
        <w:t>按照企业、人员、机构分类，对不同类型企业及人员根据信用得分进行全省、区域排名，以及汇总统计。</w:t>
      </w:r>
    </w:p>
    <w:p>
      <w:pPr>
        <w:pStyle w:val="BodyTextFirstIndent2"/>
        <w:ind w:left="0" w:firstLine="0" w:leftChars="0" w:firstLineChars="0"/>
        <w:rPr>
          <w:rFonts w:hint="default"/>
          <w:lang w:val="en-US"/>
        </w:rPr>
      </w:pPr>
      <w:r>
        <w:drawing>
          <wp:inline distT="0" distB="0" distL="114300" distR="114300">
            <wp:extent cx="5268595" cy="1553845"/>
            <wp:effectExtent l="0" t="0" r="8255" b="8255"/>
            <wp:docPr id="33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0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55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firstLine="0" w:leftChars="0" w:firstLineChars="0"/>
      </w:pPr>
      <w:r>
        <w:drawing>
          <wp:inline distT="0" distB="0" distL="114300" distR="114300">
            <wp:extent cx="5268595" cy="1745615"/>
            <wp:effectExtent l="0" t="0" r="8255" b="6985"/>
            <wp:docPr id="3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1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74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20" w:name="_GoBack"/>
      <w:bookmarkEnd w:id="20"/>
    </w:p>
    <w:p>
      <w:pPr>
        <w:ind w:left="0" w:firstLine="0" w:leftChars="0" w:firstLineChars="0"/>
      </w:pPr>
    </w:p>
    <w:p>
      <w:pPr>
        <w:widowControl/>
        <w:kinsoku w:val="0"/>
        <w:autoSpaceDE w:val="0"/>
        <w:autoSpaceDN w:val="0"/>
        <w:adjustRightInd w:val="0"/>
        <w:snapToGrid w:val="0"/>
        <w:ind w:left="0" w:firstLine="0" w:leftChars="0" w:firstLineChars="0"/>
        <w:jc w:val="left"/>
        <w:textAlignment w:val="baseline"/>
        <w:rPr>
          <w:rFonts w:ascii="仿宋" w:hAnsi="仿宋" w:cs="仿宋"/>
          <w:snapToGrid w:val="0"/>
          <w:color w:val="000000"/>
          <w:spacing w:val="4"/>
          <w:kern w:val="0"/>
          <w:szCs w:val="32"/>
        </w:rPr>
      </w:pPr>
    </w:p>
    <w:sectPr>
      <w:headerReference w:type="even" r:id="rId36"/>
      <w:headerReference w:type="default" r:id="rId37"/>
      <w:footerReference w:type="default" r:id="rId38"/>
      <w:headerReference w:type="first" r:id="rId39"/>
      <w:pgSz w:w="11906" w:h="16838"/>
      <w:pgMar w:top="1440" w:right="1800" w:bottom="1440" w:left="1800" w:header="851" w:footer="992" w:gutter="0"/>
      <w:pg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gBorders>
      <w:cols w:num="1" w:space="425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widowControl/>
      <w:kinsoku w:val="0"/>
      <w:autoSpaceDE w:val="0"/>
      <w:autoSpaceDN w:val="0"/>
      <w:adjustRightInd w:val="0"/>
      <w:snapToGrid w:val="0"/>
      <w:spacing w:before="1" w:line="183" w:lineRule="auto"/>
      <w:ind w:firstLine="520"/>
      <w:jc w:val="left"/>
      <w:textAlignment w:val="baseline"/>
      <w:rPr>
        <w:rFonts w:ascii="宋体" w:eastAsia="宋体" w:hAnsi="宋体" w:cs="宋体"/>
        <w:snapToGrid w:val="0"/>
        <w:color w:val="000000"/>
        <w:kern w:val="0"/>
        <w:sz w:val="26"/>
        <w:szCs w:val="26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width:500pt;height:100pt;margin-top:0;margin-left:0;mso-position-horizontal:center;mso-position-horizontal-relative:page;mso-position-vertical:center;mso-position-vertical-relative:page;position:absolute;rotation:-40;z-index:251660288" fillcolor="gray" strokecolor="gray">
          <v:fill opacity="13107f"/>
          <v:stroke opacity="26214f"/>
          <v:textpath style="font-family:Arial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width:500pt;height:100pt;margin-top:0;margin-left:0;mso-position-horizontal:center;mso-position-horizontal-relative:page;mso-position-vertical:center;mso-position-vertical-relative:page;position:absolute;rotation:-40;z-index:251658240" fillcolor="gray" strokecolor="gray">
          <v:fill opacity="13107f"/>
          <v:stroke opacity="26214f"/>
          <v:textpath style="font-family:Arial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width:500pt;height:100pt;margin-top:0;margin-left:0;mso-position-horizontal:center;mso-position-horizontal-relative:page;mso-position-vertical:center;mso-position-vertical-relative:page;position:absolute;rotation:-40;z-index:251659264" fillcolor="gray" strokecolor="gray">
          <v:fill opacity="13107f"/>
          <v:stroke opacity="26214f"/>
          <v:textpath style="font-family:Arial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B78DE542"/>
    <w:multiLevelType w:val="singleLevel"/>
    <w:tmpl w:val="B78DE542"/>
    <w:lvl w:ilvl="0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">
    <w:nsid w:val="FFA4875B"/>
    <w:multiLevelType w:val="multilevel"/>
    <w:tmpl w:val="FFA4875B"/>
    <w:lvl w:ilvl="0">
      <w:start w:val="1"/>
      <w:numFmt w:val="chineseCountingThousand"/>
      <w:lvlText w:val="%1、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isLgl/>
      <w:lvlText w:val="%1.%2、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isLgl/>
      <w:lvlText w:val="%1.%2.%3、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isLgl/>
      <w:lvlText w:val="%1.%2.%3.%4、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isLgl/>
      <w:lvlText w:val="%1.%2.%3.%4.%5、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isLgl/>
      <w:lvlText w:val="%1.%2.%3.%4.%5.%6、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2">
    <w:nsid w:val="0592B532"/>
    <w:multiLevelType w:val="multilevel"/>
    <w:tmpl w:val="0592B532"/>
    <w:lvl w:ilvl="0">
      <w:start w:val="1"/>
      <w:numFmt w:val="chineseCountingThousand"/>
      <w:pStyle w:val="Heading1"/>
      <w:lvlText w:val="%1、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isLgl/>
      <w:lvlText w:val="%1.%2、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isLgl/>
      <w:lvlText w:val="%1.%2.%3、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isLgl/>
      <w:lvlText w:val="%1.%2.%3.%4、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isLgl/>
      <w:lvlText w:val="%1.%2.%3.%4.%5、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isLgl/>
      <w:lvlText w:val="%1.%2.%3.%4.%5.%6、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3">
    <w:nsid w:val="42FCD97E"/>
    <w:multiLevelType w:val="multilevel"/>
    <w:tmpl w:val="42FCD97E"/>
    <w:lvl w:ilvl="0">
      <w:start w:val="1"/>
      <w:numFmt w:val="chineseCountingThousand"/>
      <w:lvlText w:val="%1、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isLgl/>
      <w:lvlText w:val="%1.%2、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isLgl/>
      <w:lvlText w:val="%1.%2.%3、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isLgl/>
      <w:lvlText w:val="%1.%2.%3.%4、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isLgl/>
      <w:lvlText w:val="%1.%2.%3.%4.%5、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isLgl/>
      <w:lvlText w:val="%1.%2.%3.%4.%5.%6、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7636205"/>
    <w:rsid w:val="001B2C60"/>
    <w:rsid w:val="004B729C"/>
    <w:rsid w:val="004D60FB"/>
    <w:rsid w:val="007E031E"/>
    <w:rsid w:val="00B27526"/>
    <w:rsid w:val="03111E2F"/>
    <w:rsid w:val="04D80CF4"/>
    <w:rsid w:val="055B0EE8"/>
    <w:rsid w:val="068A27BC"/>
    <w:rsid w:val="06B11DA8"/>
    <w:rsid w:val="079528D4"/>
    <w:rsid w:val="08E04123"/>
    <w:rsid w:val="0A0A75A9"/>
    <w:rsid w:val="0B1D2CE2"/>
    <w:rsid w:val="0C741C42"/>
    <w:rsid w:val="0D186DD8"/>
    <w:rsid w:val="0E796AAB"/>
    <w:rsid w:val="0F8120BC"/>
    <w:rsid w:val="10671757"/>
    <w:rsid w:val="10797DC1"/>
    <w:rsid w:val="11B23BD0"/>
    <w:rsid w:val="16F92D57"/>
    <w:rsid w:val="18D72D4C"/>
    <w:rsid w:val="196C40EA"/>
    <w:rsid w:val="1A294CEC"/>
    <w:rsid w:val="1B3E5305"/>
    <w:rsid w:val="1B5E1503"/>
    <w:rsid w:val="1C250273"/>
    <w:rsid w:val="1D090604"/>
    <w:rsid w:val="1DAF4298"/>
    <w:rsid w:val="1F9A44FB"/>
    <w:rsid w:val="228F54CC"/>
    <w:rsid w:val="23AE7537"/>
    <w:rsid w:val="23D45FF3"/>
    <w:rsid w:val="249B3E48"/>
    <w:rsid w:val="24E32018"/>
    <w:rsid w:val="292F1C2F"/>
    <w:rsid w:val="29E33E45"/>
    <w:rsid w:val="2A6401B8"/>
    <w:rsid w:val="2B925C9D"/>
    <w:rsid w:val="2C862524"/>
    <w:rsid w:val="2D03015C"/>
    <w:rsid w:val="2D9A242E"/>
    <w:rsid w:val="2F971030"/>
    <w:rsid w:val="32EA54DB"/>
    <w:rsid w:val="3329169B"/>
    <w:rsid w:val="3481537F"/>
    <w:rsid w:val="36881F42"/>
    <w:rsid w:val="39410EAD"/>
    <w:rsid w:val="397D7E62"/>
    <w:rsid w:val="3CF17FD1"/>
    <w:rsid w:val="3CFB0B39"/>
    <w:rsid w:val="3E2D661A"/>
    <w:rsid w:val="3E590D10"/>
    <w:rsid w:val="43B92C28"/>
    <w:rsid w:val="465C2BE3"/>
    <w:rsid w:val="46AE13E5"/>
    <w:rsid w:val="47484C91"/>
    <w:rsid w:val="47E04ECA"/>
    <w:rsid w:val="4D3857A8"/>
    <w:rsid w:val="4DA0783A"/>
    <w:rsid w:val="502E6463"/>
    <w:rsid w:val="50CB5F8E"/>
    <w:rsid w:val="51895F94"/>
    <w:rsid w:val="529F12A2"/>
    <w:rsid w:val="52A019BD"/>
    <w:rsid w:val="5321459D"/>
    <w:rsid w:val="54162822"/>
    <w:rsid w:val="560426CB"/>
    <w:rsid w:val="57636205"/>
    <w:rsid w:val="5A2F4A11"/>
    <w:rsid w:val="5A6808A2"/>
    <w:rsid w:val="5B5F5C30"/>
    <w:rsid w:val="5D871FF5"/>
    <w:rsid w:val="5ED5133B"/>
    <w:rsid w:val="5FE07D05"/>
    <w:rsid w:val="60F8107F"/>
    <w:rsid w:val="617E5D43"/>
    <w:rsid w:val="65FC2F0D"/>
    <w:rsid w:val="67642FCA"/>
    <w:rsid w:val="68B36250"/>
    <w:rsid w:val="6A3A68D8"/>
    <w:rsid w:val="6A6E392C"/>
    <w:rsid w:val="6A846A7C"/>
    <w:rsid w:val="6ADB7978"/>
    <w:rsid w:val="6B297F1A"/>
    <w:rsid w:val="6C13562E"/>
    <w:rsid w:val="6E28223C"/>
    <w:rsid w:val="6EE44B78"/>
    <w:rsid w:val="6F1E7093"/>
    <w:rsid w:val="6F3C2E8E"/>
    <w:rsid w:val="6FE00B3B"/>
    <w:rsid w:val="72281098"/>
    <w:rsid w:val="7480766C"/>
    <w:rsid w:val="773226E3"/>
    <w:rsid w:val="78931961"/>
    <w:rsid w:val="79D4645D"/>
    <w:rsid w:val="7C642592"/>
    <w:rsid w:val="7C653614"/>
    <w:rsid w:val="7CFA3BCB"/>
    <w:rsid w:val="7ECE5890"/>
  </w:rsids>
  <w:docVars>
    <w:docVar w:name="commondata" w:val="eyJoZGlkIjoiNzU5MDI4Y2M3OTllN2VkZjA0MTQxNGM4ZjU5MWM5ZmUifQ=="/>
  </w:docVars>
  <m:mathPr>
    <m:mathFont m:val="Cambria Math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0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0" w:uiPriority="0" w:unhideWhenUsed="0"/>
    <w:lsdException w:name="index 2" w:semiHidden="0" w:uiPriority="0" w:unhideWhenUsed="0"/>
    <w:lsdException w:name="index 3" w:semiHidden="0" w:uiPriority="0" w:unhideWhenUsed="0"/>
    <w:lsdException w:name="index 4" w:semiHidden="0" w:uiPriority="0" w:unhideWhenUsed="0"/>
    <w:lsdException w:name="index 5" w:semiHidden="0" w:uiPriority="0" w:unhideWhenUsed="0"/>
    <w:lsdException w:name="index 6" w:semiHidden="0" w:uiPriority="0" w:unhideWhenUsed="0"/>
    <w:lsdException w:name="index 7" w:semiHidden="0" w:uiPriority="0" w:unhideWhenUsed="0"/>
    <w:lsdException w:name="index 8" w:semiHidden="0" w:uiPriority="0" w:unhideWhenUsed="0"/>
    <w:lsdException w:name="index 9" w:semiHidden="0" w:uiPriority="0" w:unhideWhenUsed="0"/>
    <w:lsdException w:name="toc 1" w:semiHidden="0" w:uiPriority="0" w:unhideWhenUsed="0" w:qFormat="1"/>
    <w:lsdException w:name="toc 2" w:semiHidden="0" w:uiPriority="0" w:unhideWhenUsed="0" w:qFormat="1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semiHidden="0" w:uiPriority="0" w:unhideWhenUsed="0"/>
    <w:lsdException w:name="footnote text" w:semiHidden="0" w:uiPriority="0" w:unhideWhenUsed="0"/>
    <w:lsdException w:name="annotation text" w:semiHidden="0" w:uiPriority="0" w:unhideWhenUsed="0" w:qFormat="1"/>
    <w:lsdException w:name="header" w:semiHidden="0" w:uiPriority="0" w:unhideWhenUsed="0" w:qFormat="1"/>
    <w:lsdException w:name="footer" w:semiHidden="0" w:uiPriority="0" w:unhideWhenUsed="0"/>
    <w:lsdException w:name="index heading" w:semiHidden="0" w:uiPriority="0" w:unhideWhenUsed="0"/>
    <w:lsdException w:name="caption" w:uiPriority="0" w:qFormat="1"/>
    <w:lsdException w:name="table of figures" w:semiHidden="0" w:uiPriority="0" w:unhideWhenUsed="0"/>
    <w:lsdException w:name="envelope address" w:semiHidden="0" w:uiPriority="0" w:unhideWhenUsed="0"/>
    <w:lsdException w:name="envelope return" w:semiHidden="0" w:uiPriority="0" w:unhideWhenUsed="0"/>
    <w:lsdException w:name="footnote reference" w:semiHidden="0" w:uiPriority="0" w:unhideWhenUsed="0"/>
    <w:lsdException w:name="annotation reference" w:semiHidden="0" w:uiPriority="0" w:unhideWhenUsed="0" w:qFormat="1"/>
    <w:lsdException w:name="line number" w:semiHidden="0" w:uiPriority="0" w:unhideWhenUsed="0"/>
    <w:lsdException w:name="page number" w:semiHidden="0" w:uiPriority="0" w:unhideWhenUsed="0"/>
    <w:lsdException w:name="endnote reference" w:semiHidden="0" w:uiPriority="0" w:unhideWhenUsed="0"/>
    <w:lsdException w:name="endnote text" w:semiHidden="0" w:uiPriority="0" w:unhideWhenUsed="0"/>
    <w:lsdException w:name="table of authorities" w:semiHidden="0" w:uiPriority="0" w:unhideWhenUsed="0"/>
    <w:lsdException w:name="macro" w:semiHidden="0" w:uiPriority="0" w:unhideWhenUsed="0"/>
    <w:lsdException w:name="toa heading" w:semiHidden="0" w:uiPriority="0" w:unhideWhenUsed="0"/>
    <w:lsdException w:name="List" w:semiHidden="0" w:uiPriority="0" w:unhideWhenUsed="0"/>
    <w:lsdException w:name="List Bullet" w:semiHidden="0" w:uiPriority="0" w:unhideWhenUsed="0"/>
    <w:lsdException w:name="List Number" w:semiHidden="0" w:uiPriority="0" w:unhideWhenUsed="0"/>
    <w:lsdException w:name="List 2" w:semiHidden="0" w:uiPriority="0" w:unhideWhenUsed="0"/>
    <w:lsdException w:name="List 3" w:semiHidden="0" w:uiPriority="0" w:unhideWhenUsed="0"/>
    <w:lsdException w:name="List 4" w:semiHidden="0" w:uiPriority="0" w:unhideWhenUsed="0"/>
    <w:lsdException w:name="List 5" w:semiHidden="0" w:uiPriority="0" w:unhideWhenUsed="0"/>
    <w:lsdException w:name="List Bullet 2" w:semiHidden="0" w:uiPriority="0" w:unhideWhenUsed="0"/>
    <w:lsdException w:name="List Bullet 3" w:semiHidden="0" w:uiPriority="0" w:unhideWhenUsed="0"/>
    <w:lsdException w:name="List Bullet 4" w:semiHidden="0" w:uiPriority="0" w:unhideWhenUsed="0"/>
    <w:lsdException w:name="List Bullet 5" w:semiHidden="0" w:uiPriority="0" w:unhideWhenUsed="0"/>
    <w:lsdException w:name="List Number 2" w:semiHidden="0" w:uiPriority="0" w:unhideWhenUsed="0"/>
    <w:lsdException w:name="List Number 3" w:semiHidden="0" w:uiPriority="0" w:unhideWhenUsed="0"/>
    <w:lsdException w:name="List Number 4" w:semiHidden="0" w:uiPriority="0" w:unhideWhenUsed="0"/>
    <w:lsdException w:name="List Number 5" w:semiHidden="0" w:uiPriority="0" w:unhideWhenUsed="0"/>
    <w:lsdException w:name="Title" w:semiHidden="0" w:uiPriority="0" w:unhideWhenUsed="0" w:qFormat="1"/>
    <w:lsdException w:name="Closing" w:semiHidden="0" w:uiPriority="0" w:unhideWhenUsed="0"/>
    <w:lsdException w:name="Signature" w:semiHidden="0" w:uiPriority="0" w:unhideWhenUsed="0"/>
    <w:lsdException w:name="Default Paragraph Font" w:uiPriority="1" w:qFormat="1"/>
    <w:lsdException w:name="Body Text" w:semiHidden="0" w:uiPriority="0" w:unhideWhenUsed="0" w:qFormat="1"/>
    <w:lsdException w:name="Body Text Indent" w:semiHidden="0" w:uiPriority="0" w:unhideWhenUsed="0" w:qFormat="1"/>
    <w:lsdException w:name="List Continue" w:semiHidden="0" w:uiPriority="0" w:unhideWhenUsed="0"/>
    <w:lsdException w:name="List Continue 2" w:semiHidden="0" w:uiPriority="0" w:unhideWhenUsed="0"/>
    <w:lsdException w:name="List Continue 3" w:semiHidden="0" w:uiPriority="0" w:unhideWhenUsed="0"/>
    <w:lsdException w:name="List Continue 4" w:semiHidden="0" w:uiPriority="0" w:unhideWhenUsed="0"/>
    <w:lsdException w:name="List Continue 5" w:semiHidden="0" w:uiPriority="0" w:unhideWhenUsed="0"/>
    <w:lsdException w:name="Message Header" w:semiHidden="0" w:uiPriority="0" w:unhideWhenUsed="0"/>
    <w:lsdException w:name="Subtitle" w:semiHidden="0" w:uiPriority="0" w:unhideWhenUsed="0" w:qFormat="1"/>
    <w:lsdException w:name="Salutation" w:semiHidden="0" w:uiPriority="0" w:unhideWhenUsed="0"/>
    <w:lsdException w:name="Date" w:semiHidden="0" w:uiPriority="0" w:unhideWhenUsed="0"/>
    <w:lsdException w:name="Body Text First Indent" w:semiHidden="0" w:uiPriority="0" w:unhideWhenUsed="0"/>
    <w:lsdException w:name="Body Text First Indent 2" w:semiHidden="0" w:qFormat="1"/>
    <w:lsdException w:name="Note Heading" w:semiHidden="0" w:uiPriority="0" w:unhideWhenUsed="0"/>
    <w:lsdException w:name="Body Text 2" w:semiHidden="0" w:uiPriority="0" w:unhideWhenUsed="0"/>
    <w:lsdException w:name="Body Text 3" w:semiHidden="0" w:uiPriority="0" w:unhideWhenUsed="0"/>
    <w:lsdException w:name="Body Text Indent 2" w:semiHidden="0" w:uiPriority="0" w:unhideWhenUsed="0"/>
    <w:lsdException w:name="Body Text Indent 3" w:semiHidden="0" w:uiPriority="0" w:unhideWhenUsed="0"/>
    <w:lsdException w:name="Block Text" w:semiHidden="0" w:uiPriority="0" w:unhideWhenUsed="0"/>
    <w:lsdException w:name="Hyperlink" w:semiHidden="0" w:uiPriority="0" w:unhideWhenUsed="0" w:qFormat="1"/>
    <w:lsdException w:name="FollowedHyperlink" w:semiHidden="0" w:uiPriority="0" w:unhideWhenUsed="0"/>
    <w:lsdException w:name="Strong" w:semiHidden="0" w:uiPriority="0" w:unhideWhenUsed="0" w:qFormat="1"/>
    <w:lsdException w:name="Emphasis" w:semiHidden="0" w:uiPriority="0" w:unhideWhenUsed="0" w:qFormat="1"/>
    <w:lsdException w:name="Document Map" w:semiHidden="0" w:uiPriority="0" w:unhideWhenUsed="0"/>
    <w:lsdException w:name="Plain Text" w:semiHidden="0" w:uiPriority="0" w:unhideWhenUsed="0"/>
    <w:lsdException w:name="E-mail Signature" w:semiHidden="0" w:uiPriority="0" w:unhideWhenUsed="0"/>
    <w:lsdException w:name="Normal (Web)" w:semiHidden="0" w:uiPriority="0" w:unhideWhenUsed="0" w:qFormat="1"/>
    <w:lsdException w:name="HTML Acronym" w:semiHidden="0" w:uiPriority="0" w:unhideWhenUsed="0"/>
    <w:lsdException w:name="HTML Address" w:semiHidden="0" w:uiPriority="0" w:unhideWhenUsed="0"/>
    <w:lsdException w:name="HTML Cite" w:semiHidden="0" w:uiPriority="0" w:unhideWhenUsed="0"/>
    <w:lsdException w:name="HTML Code" w:semiHidden="0" w:uiPriority="0" w:unhideWhenUsed="0"/>
    <w:lsdException w:name="HTML Definition" w:semiHidden="0" w:uiPriority="0" w:unhideWhenUsed="0"/>
    <w:lsdException w:name="HTML Keyboard" w:semiHidden="0" w:uiPriority="0" w:unhideWhenUsed="0"/>
    <w:lsdException w:name="HTML Preformatted" w:semiHidden="0" w:uiPriority="0" w:unhideWhenUsed="0"/>
    <w:lsdException w:name="HTML Sample" w:semiHidden="0" w:uiPriority="0" w:unhideWhenUsed="0"/>
    <w:lsdException w:name="HTML Typewriter" w:semiHidden="0" w:uiPriority="0" w:unhideWhenUsed="0"/>
    <w:lsdException w:name="HTML Variable" w:semiHidden="0" w:uiPriority="0" w:unhideWhenUsed="0"/>
    <w:lsdException w:name="Normal Table" w:qFormat="1"/>
    <w:lsdException w:name="annotation subject" w:semiHidden="0" w:uiPriority="0" w:unhideWhenUsed="0" w:qFormat="1"/>
    <w:lsdException w:name="Table Simple 1" w:uiPriority="0"/>
    <w:lsdException w:name="Table Simple 2" w:uiPriority="0"/>
    <w:lsdException w:name="Table Simple 3" w:uiPriority="0"/>
    <w:lsdException w:name="Table Classic 1" w:uiPriority="0"/>
    <w:lsdException w:name="Table Classic 2" w:uiPriority="0"/>
    <w:lsdException w:name="Table Classic 3" w:uiPriority="0"/>
    <w:lsdException w:name="Table Classic 4" w:uiPriority="0"/>
    <w:lsdException w:name="Table Colorful 1" w:uiPriority="0"/>
    <w:lsdException w:name="Table Colorful 2" w:uiPriority="0"/>
    <w:lsdException w:name="Table Colorful 3" w:uiPriority="0"/>
    <w:lsdException w:name="Table Columns 1" w:uiPriority="0"/>
    <w:lsdException w:name="Table Columns 2" w:uiPriority="0"/>
    <w:lsdException w:name="Table Columns 3" w:uiPriority="0"/>
    <w:lsdException w:name="Table Columns 4" w:uiPriority="0"/>
    <w:lsdException w:name="Table Columns 5" w:uiPriority="0"/>
    <w:lsdException w:name="Table Grid 1" w:uiPriority="0"/>
    <w:lsdException w:name="Table Grid 2" w:uiPriority="0"/>
    <w:lsdException w:name="Table Grid 3" w:uiPriority="0"/>
    <w:lsdException w:name="Table Grid 4" w:uiPriority="0"/>
    <w:lsdException w:name="Table Grid 5" w:uiPriority="0"/>
    <w:lsdException w:name="Table Grid 6" w:uiPriority="0"/>
    <w:lsdException w:name="Table Grid 7" w:uiPriority="0"/>
    <w:lsdException w:name="Table Grid 8" w:uiPriority="0"/>
    <w:lsdException w:name="Table List 1" w:uiPriority="0"/>
    <w:lsdException w:name="Table List 2" w:uiPriority="0"/>
    <w:lsdException w:name="Table List 3" w:uiPriority="0"/>
    <w:lsdException w:name="Table List 4" w:uiPriority="0"/>
    <w:lsdException w:name="Table List 5" w:uiPriority="0"/>
    <w:lsdException w:name="Table List 6" w:uiPriority="0"/>
    <w:lsdException w:name="Table List 7" w:uiPriority="0"/>
    <w:lsdException w:name="Table List 8" w:uiPriority="0"/>
    <w:lsdException w:name="Table 3D effects 1" w:uiPriority="0"/>
    <w:lsdException w:name="Table 3D effects 2" w:uiPriority="0"/>
    <w:lsdException w:name="Table 3D effects 3" w:uiPriority="0"/>
    <w:lsdException w:name="Table Contemporary" w:uiPriority="0"/>
    <w:lsdException w:name="Table Elegant" w:uiPriority="0"/>
    <w:lsdException w:name="Table Professional" w:uiPriority="0"/>
    <w:lsdException w:name="Table Subtle 1" w:uiPriority="0"/>
    <w:lsdException w:name="Table Subtle 2" w:uiPriority="0"/>
    <w:lsdException w:name="Table Web 1" w:uiPriority="0"/>
    <w:lsdException w:name="Table Web 2" w:uiPriority="0"/>
    <w:lsdException w:name="Table Web 3" w:uiPriority="0"/>
    <w:lsdException w:name="Balloon Text" w:semiHidden="0" w:uiPriority="0" w:unhideWhenUsed="0"/>
    <w:lsdException w:name="Table Grid" w:semiHidden="0" w:uiPriority="39" w:unhideWhenUsed="0" w:qFormat="1"/>
    <w:lsdException w:name="Table Theme" w:uiPriority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</w:latentStyles>
  <w:style w:type="paragraph" w:default="1" w:styleId="Normal">
    <w:name w:val="Normal"/>
    <w:next w:val="BodyTextFirstIndent2"/>
    <w:qFormat/>
    <w:pPr>
      <w:widowControl w:val="0"/>
      <w:spacing w:line="360" w:lineRule="auto"/>
      <w:ind w:firstLine="611" w:firstLineChars="200"/>
      <w:jc w:val="both"/>
    </w:pPr>
    <w:rPr>
      <w:rFonts w:ascii="Times New Roman" w:eastAsia="仿宋" w:hAnsi="Times New Roman" w:cstheme="minorBidi"/>
      <w:kern w:val="2"/>
      <w:sz w:val="32"/>
      <w:szCs w:val="24"/>
      <w:lang w:val="en-US" w:eastAsia="zh-CN" w:bidi="ar-SA"/>
    </w:rPr>
  </w:style>
  <w:style w:type="paragraph" w:styleId="Heading1">
    <w:name w:val="heading 1"/>
    <w:basedOn w:val="Normal"/>
    <w:next w:val="Normal"/>
    <w:qFormat/>
    <w:pPr>
      <w:keepNext/>
      <w:keepLines/>
      <w:numPr>
        <w:ilvl w:val="0"/>
        <w:numId w:val="1"/>
      </w:numPr>
      <w:spacing w:before="100" w:beforeLines="100" w:after="100" w:afterLines="100" w:line="440" w:lineRule="exact"/>
      <w:ind w:left="0" w:firstLine="0"/>
      <w:outlineLvl w:val="0"/>
    </w:pPr>
    <w:rPr>
      <w:b/>
      <w:kern w:val="44"/>
    </w:rPr>
  </w:style>
  <w:style w:type="paragraph" w:styleId="Heading2">
    <w:name w:val="heading 2"/>
    <w:basedOn w:val="Normal"/>
    <w:next w:val="Normal"/>
    <w:unhideWhenUsed/>
    <w:qFormat/>
    <w:pPr>
      <w:keepNext/>
      <w:keepLines/>
      <w:spacing w:line="440" w:lineRule="exact"/>
      <w:ind w:firstLine="0" w:firstLineChars="0"/>
      <w:outlineLvl w:val="1"/>
    </w:pPr>
    <w:rPr>
      <w:rFonts w:eastAsia="宋体"/>
      <w:b/>
      <w:sz w:val="30"/>
    </w:rPr>
  </w:style>
  <w:style w:type="paragraph" w:styleId="Heading3">
    <w:name w:val="heading 3"/>
    <w:basedOn w:val="Normal"/>
    <w:next w:val="2"/>
    <w:unhideWhenUsed/>
    <w:qFormat/>
    <w:pPr>
      <w:keepNext/>
      <w:keepLines/>
      <w:spacing w:line="413" w:lineRule="auto"/>
      <w:ind w:firstLine="0" w:firstLineChars="0"/>
      <w:outlineLvl w:val="2"/>
    </w:pPr>
    <w:rPr>
      <w:b/>
    </w:rPr>
  </w:style>
  <w:style w:type="paragraph" w:styleId="Heading4">
    <w:name w:val="heading 4"/>
    <w:basedOn w:val="Normal"/>
    <w:next w:val="Normal"/>
    <w:unhideWhenUsed/>
    <w:qFormat/>
    <w:pPr>
      <w:keepNext/>
      <w:keepLines/>
      <w:spacing w:line="372" w:lineRule="auto"/>
      <w:ind w:firstLine="0" w:firstLineChars="0"/>
      <w:outlineLvl w:val="3"/>
    </w:pPr>
    <w:rPr>
      <w:b/>
    </w:rPr>
  </w:style>
  <w:style w:type="paragraph" w:styleId="Heading5">
    <w:name w:val="heading 5"/>
    <w:basedOn w:val="Normal"/>
    <w:next w:val="Normal"/>
    <w:semiHidden/>
    <w:unhideWhenUsed/>
    <w:qFormat/>
    <w:pPr>
      <w:keepNext/>
      <w:keepLines/>
      <w:spacing w:before="280" w:after="290" w:line="372" w:lineRule="auto"/>
      <w:ind w:firstLine="0" w:firstLineChars="0"/>
      <w:outlineLvl w:val="4"/>
    </w:pPr>
    <w:rPr>
      <w:b/>
      <w:sz w:val="28"/>
    </w:rPr>
  </w:style>
  <w:style w:type="paragraph" w:styleId="Heading6">
    <w:name w:val="heading 6"/>
    <w:basedOn w:val="Normal"/>
    <w:next w:val="Normal"/>
    <w:semiHidden/>
    <w:unhideWhenUsed/>
    <w:qFormat/>
    <w:pPr>
      <w:keepNext/>
      <w:keepLines/>
      <w:spacing w:before="240" w:after="64" w:line="317" w:lineRule="auto"/>
      <w:ind w:firstLine="0" w:firstLineChars="0"/>
      <w:outlineLvl w:val="5"/>
    </w:pPr>
    <w:rPr>
      <w:rFonts w:ascii="Arial" w:eastAsia="黑体" w:hAnsi="Arial"/>
      <w:b/>
      <w:sz w:val="24"/>
    </w:rPr>
  </w:style>
  <w:style w:type="paragraph" w:styleId="Heading7">
    <w:name w:val="heading 7"/>
    <w:basedOn w:val="Normal"/>
    <w:next w:val="Normal"/>
    <w:semiHidden/>
    <w:unhideWhenUsed/>
    <w:qFormat/>
    <w:pPr>
      <w:keepNext/>
      <w:keepLines/>
      <w:spacing w:before="240" w:after="64" w:line="317" w:lineRule="auto"/>
      <w:ind w:firstLine="0" w:firstLineChars="0"/>
      <w:outlineLvl w:val="6"/>
    </w:pPr>
    <w:rPr>
      <w:b/>
      <w:sz w:val="24"/>
    </w:rPr>
  </w:style>
  <w:style w:type="paragraph" w:styleId="Heading8">
    <w:name w:val="heading 8"/>
    <w:basedOn w:val="Normal"/>
    <w:next w:val="Normal"/>
    <w:semiHidden/>
    <w:unhideWhenUsed/>
    <w:qFormat/>
    <w:pPr>
      <w:keepNext/>
      <w:keepLines/>
      <w:spacing w:before="240" w:after="64" w:line="317" w:lineRule="auto"/>
      <w:ind w:firstLine="0" w:firstLineChars="0"/>
      <w:outlineLvl w:val="7"/>
    </w:pPr>
    <w:rPr>
      <w:rFonts w:ascii="Arial" w:eastAsia="黑体" w:hAnsi="Arial"/>
      <w:sz w:val="24"/>
    </w:rPr>
  </w:style>
  <w:style w:type="paragraph" w:styleId="Heading9">
    <w:name w:val="heading 9"/>
    <w:basedOn w:val="Normal"/>
    <w:next w:val="Normal"/>
    <w:semiHidden/>
    <w:unhideWhenUsed/>
    <w:qFormat/>
    <w:pPr>
      <w:keepNext/>
      <w:keepLines/>
      <w:spacing w:before="240" w:after="64" w:line="317" w:lineRule="auto"/>
      <w:ind w:firstLine="0" w:firstLineChars="0"/>
      <w:outlineLvl w:val="8"/>
    </w:pPr>
    <w:rPr>
      <w:rFonts w:ascii="Arial" w:eastAsia="黑体" w:hAnsi="Arial"/>
      <w:sz w:val="21"/>
    </w:rPr>
  </w:style>
  <w:style w:type="character" w:default="1" w:styleId="DefaultParagraphFont">
    <w:name w:val="Default Paragraph Font"/>
    <w:uiPriority w:val="1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FirstIndent2">
    <w:name w:val="Body Text First Indent 2"/>
    <w:uiPriority w:val="99"/>
    <w:unhideWhenUsed/>
    <w:qFormat/>
    <w:pPr>
      <w:spacing w:after="120" w:line="360" w:lineRule="auto"/>
      <w:ind w:firstLine="420" w:firstLineChars="200"/>
      <w:jc w:val="both"/>
    </w:pPr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paragraph" w:customStyle="1" w:styleId="2">
    <w:name w:val="正文2"/>
    <w:qFormat/>
    <w:pPr>
      <w:widowControl w:val="0"/>
      <w:spacing w:line="360" w:lineRule="auto"/>
      <w:ind w:firstLine="200" w:firstLineChars="200"/>
      <w:jc w:val="both"/>
    </w:pPr>
    <w:rPr>
      <w:rFonts w:ascii="Times New Roman" w:eastAsia="宋体" w:hAnsi="Times New Roman" w:cs="Times New Roman"/>
      <w:kern w:val="2"/>
      <w:sz w:val="24"/>
      <w:szCs w:val="24"/>
      <w:lang w:val="en-US" w:eastAsia="zh-CN" w:bidi="ar-SA"/>
    </w:rPr>
  </w:style>
  <w:style w:type="paragraph" w:styleId="CommentText">
    <w:name w:val="annotation text"/>
    <w:basedOn w:val="Normal"/>
    <w:link w:val="a"/>
    <w:qFormat/>
    <w:pPr>
      <w:jc w:val="left"/>
    </w:pPr>
  </w:style>
  <w:style w:type="paragraph" w:styleId="BodyText">
    <w:name w:val="Body Text"/>
    <w:basedOn w:val="Normal"/>
    <w:next w:val="Normal"/>
    <w:qFormat/>
    <w:pPr>
      <w:spacing w:after="120"/>
    </w:pPr>
  </w:style>
  <w:style w:type="paragraph" w:styleId="BodyTextIndent">
    <w:name w:val="Body Text Indent"/>
    <w:qFormat/>
    <w:pPr>
      <w:spacing w:after="120" w:line="360" w:lineRule="auto"/>
      <w:ind w:firstLine="200" w:firstLineChars="200"/>
      <w:jc w:val="both"/>
    </w:pPr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paragraph" w:styleId="Header">
    <w:name w:val="header"/>
    <w:basedOn w:val="Normal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TOC1">
    <w:name w:val="toc 1"/>
    <w:basedOn w:val="Normal"/>
    <w:next w:val="Normal"/>
    <w:qFormat/>
  </w:style>
  <w:style w:type="paragraph" w:styleId="TOC2">
    <w:name w:val="toc 2"/>
    <w:basedOn w:val="Normal"/>
    <w:next w:val="Normal"/>
    <w:qFormat/>
    <w:pPr>
      <w:ind w:left="420" w:leftChars="200"/>
    </w:pPr>
  </w:style>
  <w:style w:type="paragraph" w:styleId="NormalWeb">
    <w:name w:val="Normal (Web)"/>
    <w:basedOn w:val="Normal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CommentSubject">
    <w:name w:val="annotation subject"/>
    <w:basedOn w:val="CommentText"/>
    <w:next w:val="CommentText"/>
    <w:link w:val="a0"/>
    <w:qFormat/>
    <w:rPr>
      <w:b/>
      <w:bCs/>
    </w:rPr>
  </w:style>
  <w:style w:type="table" w:styleId="TableGrid">
    <w:name w:val="Table Grid"/>
    <w:uiPriority w:val="39"/>
    <w:qFormat/>
    <w:rPr>
      <w:rFonts w:ascii="Calibri" w:eastAsia="宋体" w:hAnsi="Calibri"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qFormat/>
    <w:rPr>
      <w:color w:val="0000FF"/>
      <w:u w:val="single"/>
    </w:rPr>
  </w:style>
  <w:style w:type="character" w:styleId="CommentReference">
    <w:name w:val="annotation reference"/>
    <w:basedOn w:val="DefaultParagraphFont"/>
    <w:qFormat/>
    <w:rPr>
      <w:sz w:val="21"/>
      <w:szCs w:val="21"/>
    </w:rPr>
  </w:style>
  <w:style w:type="table" w:customStyle="1" w:styleId="TableNormal0">
    <w:name w:val="Table Normal_0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araCharCharChar">
    <w:name w:val="默认段落字体 Para Char Char Char"/>
    <w:qFormat/>
    <w:pPr>
      <w:spacing w:line="360" w:lineRule="auto"/>
      <w:ind w:firstLine="200" w:firstLineChars="200"/>
      <w:jc w:val="both"/>
    </w:pPr>
    <w:rPr>
      <w:rFonts w:ascii="Times New Roman" w:eastAsia="宋体" w:hAnsi="Times New Roman" w:cs="Times New Roman"/>
      <w:kern w:val="2"/>
      <w:sz w:val="24"/>
      <w:lang w:val="en-US" w:eastAsia="zh-CN" w:bidi="ar-SA"/>
    </w:rPr>
  </w:style>
  <w:style w:type="paragraph" w:styleId="ListParagraph">
    <w:name w:val="List Paragraph"/>
    <w:basedOn w:val="Normal"/>
    <w:uiPriority w:val="99"/>
    <w:qFormat/>
    <w:pPr>
      <w:ind w:firstLine="420"/>
    </w:pPr>
  </w:style>
  <w:style w:type="character" w:customStyle="1" w:styleId="a">
    <w:name w:val="批注文字 字符"/>
    <w:basedOn w:val="DefaultParagraphFont"/>
    <w:link w:val="CommentText"/>
    <w:qFormat/>
    <w:rPr>
      <w:rFonts w:eastAsia="仿宋" w:cstheme="minorBidi"/>
      <w:kern w:val="2"/>
      <w:sz w:val="32"/>
      <w:szCs w:val="24"/>
    </w:rPr>
  </w:style>
  <w:style w:type="character" w:customStyle="1" w:styleId="a0">
    <w:name w:val="批注主题 字符"/>
    <w:basedOn w:val="a"/>
    <w:link w:val="CommentSubject"/>
    <w:qFormat/>
    <w:rPr>
      <w:rFonts w:eastAsia="仿宋" w:cstheme="minorBidi"/>
      <w:b/>
      <w:bCs/>
      <w:kern w:val="2"/>
      <w:sz w:val="32"/>
      <w:szCs w:val="24"/>
    </w:rPr>
  </w:style>
  <w:style w:type="paragraph" w:customStyle="1" w:styleId="WPSOffice1">
    <w:name w:val="WPSOffice手动目录 1"/>
    <w:qFormat/>
    <w:pPr>
      <w:ind w:leftChars="0"/>
    </w:pPr>
    <w:rPr>
      <w:rFonts w:ascii="Times New Roman" w:eastAsia="宋体" w:hAnsi="Times New Roman" w:cs="Times New Roman"/>
      <w:sz w:val="20"/>
      <w:szCs w:val="20"/>
    </w:rPr>
  </w:style>
  <w:style w:type="paragraph" w:customStyle="1" w:styleId="WPSOffice2">
    <w:name w:val="WPSOffice手动目录 2"/>
    <w:qFormat/>
    <w:pPr>
      <w:ind w:leftChars="200"/>
    </w:pPr>
    <w:rPr>
      <w:rFonts w:ascii="Times New Roman" w:eastAsia="宋体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image" Target="media/image6.png" /><Relationship Id="rId11" Type="http://schemas.openxmlformats.org/officeDocument/2006/relationships/image" Target="media/image7.png" /><Relationship Id="rId12" Type="http://schemas.openxmlformats.org/officeDocument/2006/relationships/image" Target="media/image8.png" /><Relationship Id="rId13" Type="http://schemas.openxmlformats.org/officeDocument/2006/relationships/image" Target="media/image9.png" /><Relationship Id="rId14" Type="http://schemas.openxmlformats.org/officeDocument/2006/relationships/image" Target="media/image10.png" /><Relationship Id="rId15" Type="http://schemas.openxmlformats.org/officeDocument/2006/relationships/image" Target="media/image11.png" /><Relationship Id="rId16" Type="http://schemas.openxmlformats.org/officeDocument/2006/relationships/image" Target="media/image12.png" /><Relationship Id="rId17" Type="http://schemas.openxmlformats.org/officeDocument/2006/relationships/image" Target="media/image13.png" /><Relationship Id="rId18" Type="http://schemas.openxmlformats.org/officeDocument/2006/relationships/image" Target="media/image14.png" /><Relationship Id="rId19" Type="http://schemas.openxmlformats.org/officeDocument/2006/relationships/image" Target="media/image15.png" /><Relationship Id="rId2" Type="http://schemas.openxmlformats.org/officeDocument/2006/relationships/webSettings" Target="webSettings.xml" /><Relationship Id="rId20" Type="http://schemas.openxmlformats.org/officeDocument/2006/relationships/image" Target="media/image16.png" /><Relationship Id="rId21" Type="http://schemas.openxmlformats.org/officeDocument/2006/relationships/image" Target="media/image17.png" /><Relationship Id="rId22" Type="http://schemas.openxmlformats.org/officeDocument/2006/relationships/image" Target="media/image18.png" /><Relationship Id="rId23" Type="http://schemas.openxmlformats.org/officeDocument/2006/relationships/image" Target="media/image19.png" /><Relationship Id="rId24" Type="http://schemas.openxmlformats.org/officeDocument/2006/relationships/image" Target="media/image20.png" /><Relationship Id="rId25" Type="http://schemas.openxmlformats.org/officeDocument/2006/relationships/image" Target="media/image21.png" /><Relationship Id="rId26" Type="http://schemas.openxmlformats.org/officeDocument/2006/relationships/image" Target="media/image22.png" /><Relationship Id="rId27" Type="http://schemas.openxmlformats.org/officeDocument/2006/relationships/image" Target="media/image23.png" /><Relationship Id="rId28" Type="http://schemas.openxmlformats.org/officeDocument/2006/relationships/image" Target="media/image24.png" /><Relationship Id="rId29" Type="http://schemas.openxmlformats.org/officeDocument/2006/relationships/image" Target="media/image25.png" /><Relationship Id="rId3" Type="http://schemas.openxmlformats.org/officeDocument/2006/relationships/fontTable" Target="fontTable.xml" /><Relationship Id="rId30" Type="http://schemas.openxmlformats.org/officeDocument/2006/relationships/image" Target="media/image26.png" /><Relationship Id="rId31" Type="http://schemas.openxmlformats.org/officeDocument/2006/relationships/image" Target="media/image27.png" /><Relationship Id="rId32" Type="http://schemas.openxmlformats.org/officeDocument/2006/relationships/image" Target="media/image28.png" /><Relationship Id="rId33" Type="http://schemas.openxmlformats.org/officeDocument/2006/relationships/image" Target="media/image29.png" /><Relationship Id="rId34" Type="http://schemas.openxmlformats.org/officeDocument/2006/relationships/image" Target="media/image30.png" /><Relationship Id="rId35" Type="http://schemas.openxmlformats.org/officeDocument/2006/relationships/image" Target="media/image31.png" /><Relationship Id="rId36" Type="http://schemas.openxmlformats.org/officeDocument/2006/relationships/header" Target="header1.xml" /><Relationship Id="rId37" Type="http://schemas.openxmlformats.org/officeDocument/2006/relationships/header" Target="header2.xml" /><Relationship Id="rId38" Type="http://schemas.openxmlformats.org/officeDocument/2006/relationships/footer" Target="footer1.xml" /><Relationship Id="rId39" Type="http://schemas.openxmlformats.org/officeDocument/2006/relationships/header" Target="header3.xml" /><Relationship Id="rId4" Type="http://schemas.openxmlformats.org/officeDocument/2006/relationships/hyperlink" Target="https://zjxy.hbcic.net.cn/hbxypjqy/index" TargetMode="External" /><Relationship Id="rId40" Type="http://schemas.openxmlformats.org/officeDocument/2006/relationships/theme" Target="theme/theme1.xml" /><Relationship Id="rId41" Type="http://schemas.openxmlformats.org/officeDocument/2006/relationships/numbering" Target="numbering.xml" /><Relationship Id="rId42" Type="http://schemas.openxmlformats.org/officeDocument/2006/relationships/styles" Target="styles.xml" /><Relationship Id="rId5" Type="http://schemas.openxmlformats.org/officeDocument/2006/relationships/image" Target="media/image1.png" /><Relationship Id="rId6" Type="http://schemas.openxmlformats.org/officeDocument/2006/relationships/image" Target="media/image2.png" /><Relationship Id="rId7" Type="http://schemas.openxmlformats.org/officeDocument/2006/relationships/image" Target="media/image3.png" /><Relationship Id="rId8" Type="http://schemas.openxmlformats.org/officeDocument/2006/relationships/image" Target="media/image4.png" /><Relationship Id="rId9" Type="http://schemas.openxmlformats.org/officeDocument/2006/relationships/image" Target="media/image5.png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29</Pages>
  <Words>12114</Words>
  <Characters>12400</Characters>
  <Application>Microsoft Office Word</Application>
  <DocSecurity>0</DocSecurity>
  <Lines>66</Lines>
  <Paragraphs>18</Paragraphs>
  <ScaleCrop>false</ScaleCrop>
  <Company/>
  <LinksUpToDate>false</LinksUpToDate>
  <CharactersWithSpaces>12467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庞有炜</dc:creator>
  <cp:lastModifiedBy>Yang</cp:lastModifiedBy>
  <cp:revision>2</cp:revision>
  <dcterms:created xsi:type="dcterms:W3CDTF">2023-06-06T01:30:00Z</dcterms:created>
  <dcterms:modified xsi:type="dcterms:W3CDTF">2023-10-27T03:27:47Z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2E817DA718194690ABF346B40138B134_13</vt:lpwstr>
  </property>
  <property fmtid="{D5CDD505-2E9C-101B-9397-08002B2CF9AE}" pid="3" name="KSOProductBuildVer">
    <vt:lpwstr>2052-12.1.0.15712</vt:lpwstr>
  </property>
</Properties>
</file>